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7D22AA6F" w:rsidR="00801444" w:rsidRDefault="00D41967" w:rsidP="00801444">
      <w:pPr>
        <w:pStyle w:val="CRCoverPage"/>
        <w:tabs>
          <w:tab w:val="right" w:pos="9639"/>
        </w:tabs>
        <w:spacing w:after="0"/>
        <w:rPr>
          <w:b/>
          <w:iCs/>
          <w:noProof/>
          <w:sz w:val="28"/>
          <w:szCs w:val="28"/>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4A318E">
        <w:rPr>
          <w:b/>
          <w:noProof/>
          <w:sz w:val="24"/>
          <w:szCs w:val="24"/>
        </w:rPr>
        <w:t>1</w:t>
      </w:r>
      <w:r w:rsidR="00A55CBC">
        <w:rPr>
          <w:b/>
          <w:noProof/>
          <w:sz w:val="24"/>
          <w:szCs w:val="24"/>
        </w:rPr>
        <w:t>bis-e</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w:t>
      </w:r>
      <w:r w:rsidR="00AA236F">
        <w:rPr>
          <w:b/>
          <w:iCs/>
          <w:noProof/>
          <w:sz w:val="28"/>
          <w:szCs w:val="28"/>
        </w:rPr>
        <w:t>04065</w:t>
      </w:r>
    </w:p>
    <w:p w14:paraId="03C6E23E" w14:textId="164D6706" w:rsidR="007F294D" w:rsidRPr="005D60D8" w:rsidRDefault="00AA236F" w:rsidP="00801444">
      <w:pPr>
        <w:pStyle w:val="CRCoverPage"/>
        <w:tabs>
          <w:tab w:val="right" w:pos="9639"/>
        </w:tabs>
        <w:spacing w:after="0"/>
        <w:rPr>
          <w:b/>
          <w:i/>
          <w:noProof/>
          <w:sz w:val="24"/>
          <w:szCs w:val="24"/>
        </w:rPr>
      </w:pPr>
      <w:r>
        <w:rPr>
          <w:b/>
          <w:noProof/>
          <w:sz w:val="24"/>
          <w:szCs w:val="24"/>
        </w:rPr>
        <w:t>Electronic meeting</w:t>
      </w:r>
      <w:r w:rsidR="00361178" w:rsidRPr="00361178">
        <w:rPr>
          <w:b/>
          <w:noProof/>
          <w:sz w:val="24"/>
          <w:szCs w:val="24"/>
        </w:rPr>
        <w:t>, 17th - 26th April, 2023</w:t>
      </w:r>
      <w:r w:rsidR="007F294D" w:rsidRPr="005D60D8">
        <w:rPr>
          <w:b/>
          <w:i/>
          <w:noProof/>
          <w:sz w:val="24"/>
          <w:szCs w:val="24"/>
        </w:rPr>
        <w:tab/>
      </w:r>
      <w:r w:rsidR="00361178">
        <w:rPr>
          <w:b/>
          <w:i/>
          <w:noProof/>
          <w:sz w:val="24"/>
          <w:szCs w:val="24"/>
        </w:rPr>
        <w:t xml:space="preserve">Revision of </w:t>
      </w:r>
      <w:r w:rsidR="007F294D" w:rsidRPr="0062072B">
        <w:rPr>
          <w:b/>
          <w:iCs/>
          <w:noProof/>
          <w:sz w:val="28"/>
          <w:szCs w:val="28"/>
        </w:rPr>
        <w:t>R2-23</w:t>
      </w:r>
      <w:r w:rsidR="00361178">
        <w:rPr>
          <w:b/>
          <w:iCs/>
          <w:noProof/>
          <w:sz w:val="28"/>
          <w:szCs w:val="28"/>
        </w:rPr>
        <w:t>01693</w:t>
      </w:r>
    </w:p>
    <w:p w14:paraId="75CF7E5E" w14:textId="1A2113EE" w:rsidR="00801444" w:rsidRPr="005D60D8" w:rsidRDefault="00801444" w:rsidP="0032743C">
      <w:pPr>
        <w:pStyle w:val="CRCoverPage"/>
        <w:ind w:right="-142"/>
        <w:jc w:val="both"/>
        <w:outlineLvl w:val="0"/>
        <w:rPr>
          <w:b/>
          <w:noProof/>
          <w:sz w:val="24"/>
          <w:szCs w:val="24"/>
        </w:rPr>
      </w:pPr>
    </w:p>
    <w:p w14:paraId="342FD276" w14:textId="77777777" w:rsidR="00801444" w:rsidRPr="00CE0424" w:rsidRDefault="00801444" w:rsidP="00801444">
      <w:pPr>
        <w:pStyle w:val="3GPPHeader"/>
      </w:pPr>
    </w:p>
    <w:p w14:paraId="29A9CB84" w14:textId="6F0E7680"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2F0994" w:rsidRPr="002F0994">
        <w:rPr>
          <w:sz w:val="22"/>
          <w:szCs w:val="22"/>
          <w:lang w:val="en-US"/>
        </w:rPr>
        <w:t>7</w:t>
      </w:r>
      <w:r w:rsidRPr="002F0994">
        <w:rPr>
          <w:sz w:val="22"/>
          <w:szCs w:val="22"/>
          <w:lang w:val="en-US"/>
        </w:rPr>
        <w:t>.6.3</w:t>
      </w:r>
      <w:r w:rsidR="00E61FF3" w:rsidRPr="002F0994">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07086458" w:rsidR="00801444" w:rsidRPr="00CE0424" w:rsidRDefault="00801444" w:rsidP="00801444">
      <w:pPr>
        <w:pStyle w:val="3GPPHeader"/>
        <w:rPr>
          <w:sz w:val="22"/>
          <w:szCs w:val="22"/>
        </w:rPr>
      </w:pPr>
      <w:r>
        <w:rPr>
          <w:sz w:val="22"/>
          <w:szCs w:val="22"/>
        </w:rPr>
        <w:t>Title:</w:t>
      </w:r>
      <w:r w:rsidRPr="00CE0424">
        <w:rPr>
          <w:sz w:val="22"/>
          <w:szCs w:val="22"/>
        </w:rPr>
        <w:tab/>
      </w:r>
      <w:r w:rsidR="00F7529A">
        <w:rPr>
          <w:sz w:val="22"/>
          <w:szCs w:val="22"/>
        </w:rPr>
        <w:t>N</w:t>
      </w:r>
      <w:r w:rsidR="00E34DD1" w:rsidRPr="00E34DD1">
        <w:rPr>
          <w:sz w:val="22"/>
          <w:szCs w:val="22"/>
        </w:rPr>
        <w:t>eighbo</w:t>
      </w:r>
      <w:r w:rsidR="00486C3E">
        <w:rPr>
          <w:sz w:val="22"/>
          <w:szCs w:val="22"/>
        </w:rPr>
        <w:t>u</w:t>
      </w:r>
      <w:r w:rsidR="00E34DD1" w:rsidRPr="00E34DD1">
        <w:rPr>
          <w:sz w:val="22"/>
          <w:szCs w:val="22"/>
        </w:rPr>
        <w:t>r cell measurements before RLF</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47635C31" w14:textId="417896D5" w:rsidR="00801444" w:rsidRDefault="00C17D7F" w:rsidP="00DC1AD0">
      <w:pPr>
        <w:jc w:val="both"/>
        <w:rPr>
          <w:rFonts w:ascii="Arial" w:hAnsi="Arial" w:cs="Arial"/>
        </w:rPr>
      </w:pPr>
      <w:r w:rsidRPr="00961177">
        <w:rPr>
          <w:rFonts w:ascii="Arial" w:hAnsi="Arial" w:cs="Arial"/>
        </w:rPr>
        <w:t xml:space="preserve">The following </w:t>
      </w:r>
      <w:r w:rsidR="00961177">
        <w:rPr>
          <w:rFonts w:ascii="Arial" w:hAnsi="Arial" w:cs="Arial"/>
        </w:rPr>
        <w:t>agreements have been made on enha</w:t>
      </w:r>
      <w:r w:rsidR="00E846F5">
        <w:rPr>
          <w:rFonts w:ascii="Arial" w:hAnsi="Arial" w:cs="Arial"/>
        </w:rPr>
        <w:t>n</w:t>
      </w:r>
      <w:r w:rsidR="00961177">
        <w:rPr>
          <w:rFonts w:ascii="Arial" w:hAnsi="Arial" w:cs="Arial"/>
        </w:rPr>
        <w:t xml:space="preserve">cements </w:t>
      </w:r>
      <w:r w:rsidR="001F407E">
        <w:rPr>
          <w:rFonts w:ascii="Arial" w:hAnsi="Arial" w:cs="Arial"/>
        </w:rPr>
        <w:t xml:space="preserve">for neighbour cell measurements </w:t>
      </w:r>
      <w:r w:rsidR="00961177">
        <w:rPr>
          <w:rFonts w:ascii="Arial" w:hAnsi="Arial" w:cs="Arial"/>
        </w:rPr>
        <w:t>so far:</w:t>
      </w:r>
    </w:p>
    <w:p w14:paraId="5124F8B9" w14:textId="77B5B218" w:rsidR="00240D13" w:rsidRPr="00453D3D" w:rsidRDefault="00240D13" w:rsidP="00DC1AD0">
      <w:pPr>
        <w:jc w:val="both"/>
        <w:rPr>
          <w:rFonts w:ascii="Arial" w:hAnsi="Arial" w:cs="Arial"/>
          <w:b/>
          <w:bCs/>
        </w:rPr>
      </w:pPr>
      <w:r w:rsidRPr="00453D3D">
        <w:rPr>
          <w:rFonts w:ascii="Arial" w:hAnsi="Arial" w:cs="Arial"/>
          <w:b/>
          <w:bCs/>
          <w:lang w:val="en-US"/>
        </w:rPr>
        <w:t>RAN2#119-e</w:t>
      </w:r>
    </w:p>
    <w:p w14:paraId="0EF58FD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IoT NTN can use the mechanism for neighbor cell measurements in connected mode (specified in Rel-17 for NB-IoT). FFS if any enhancements are needed (e.g., triggers) for both NB-IoT and eMTC.</w:t>
      </w:r>
    </w:p>
    <w:p w14:paraId="1113134A" w14:textId="7F0025BE" w:rsidR="00E846F5" w:rsidRPr="00E846F5" w:rsidRDefault="00E846F5" w:rsidP="00CF033C">
      <w:pPr>
        <w:numPr>
          <w:ilvl w:val="0"/>
          <w:numId w:val="32"/>
        </w:numPr>
        <w:ind w:right="1417"/>
        <w:jc w:val="both"/>
        <w:rPr>
          <w:rFonts w:ascii="Arial" w:hAnsi="Arial" w:cs="Arial"/>
          <w:lang w:val="en-US"/>
        </w:rPr>
      </w:pPr>
      <w:r w:rsidRPr="00E846F5">
        <w:rPr>
          <w:rFonts w:ascii="Arial" w:hAnsi="Arial" w:cs="Arial"/>
          <w:lang w:val="en-US"/>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23D7A85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Measurement results reporting is not supported in Rel-18 NB-IoT NTN.</w:t>
      </w:r>
    </w:p>
    <w:p w14:paraId="70A5F103" w14:textId="57064C63" w:rsidR="00B165B1" w:rsidRPr="00453D3D" w:rsidRDefault="00B165B1" w:rsidP="00E846F5">
      <w:pPr>
        <w:jc w:val="both"/>
        <w:rPr>
          <w:rFonts w:ascii="Arial" w:hAnsi="Arial" w:cs="Arial"/>
          <w:b/>
          <w:bCs/>
          <w:lang w:val="en-US"/>
        </w:rPr>
      </w:pPr>
      <w:r w:rsidRPr="00453D3D">
        <w:rPr>
          <w:rFonts w:ascii="Arial" w:hAnsi="Arial" w:cs="Arial"/>
          <w:b/>
          <w:bCs/>
          <w:lang w:val="en-US"/>
        </w:rPr>
        <w:t>RAN2#119bis-e</w:t>
      </w:r>
    </w:p>
    <w:p w14:paraId="7BF8DB35" w14:textId="52DCCFCA" w:rsidR="00B165B1" w:rsidRPr="00B165B1" w:rsidRDefault="00190DE7" w:rsidP="00B165B1">
      <w:pPr>
        <w:numPr>
          <w:ilvl w:val="0"/>
          <w:numId w:val="33"/>
        </w:numPr>
        <w:jc w:val="both"/>
        <w:rPr>
          <w:rFonts w:ascii="Arial" w:hAnsi="Arial" w:cs="Arial"/>
          <w:lang w:val="en-US"/>
        </w:rPr>
      </w:pPr>
      <w:r>
        <w:rPr>
          <w:rFonts w:ascii="Arial" w:hAnsi="Arial" w:cs="Arial"/>
          <w:lang w:val="en-US"/>
        </w:rPr>
        <w:t>None</w:t>
      </w:r>
    </w:p>
    <w:p w14:paraId="14FE8DA6" w14:textId="669503F4" w:rsidR="00B165B1" w:rsidRPr="00B165B1" w:rsidRDefault="00283784" w:rsidP="00B165B1">
      <w:pPr>
        <w:jc w:val="both"/>
        <w:rPr>
          <w:rFonts w:ascii="Arial" w:hAnsi="Arial" w:cs="Arial"/>
          <w:b/>
          <w:bCs/>
          <w:lang w:val="en-US"/>
        </w:rPr>
      </w:pPr>
      <w:r w:rsidRPr="00453D3D">
        <w:rPr>
          <w:rFonts w:ascii="Arial" w:hAnsi="Arial" w:cs="Arial"/>
          <w:b/>
          <w:bCs/>
          <w:lang w:val="en-US"/>
        </w:rPr>
        <w:t>RAN2#120</w:t>
      </w:r>
    </w:p>
    <w:p w14:paraId="5B17FE6E"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NB-IoT we support a trigger for neighbour cell measurements based on T-service (in the quasi-Earth fixed case) (this does not preclude anything for eMTC discussion)</w:t>
      </w:r>
    </w:p>
    <w:p w14:paraId="4288B55A"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1A20D0C"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lastRenderedPageBreak/>
        <w:t>RAN2 will not specify the condition of stopping UE measurement before t-Service</w:t>
      </w:r>
    </w:p>
    <w:p w14:paraId="10DB468D"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earth-moving cell, the UE derives when loss of coverage of current cell happens (how to derive this information is FFS)</w:t>
      </w:r>
    </w:p>
    <w:p w14:paraId="472E43BF"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earth-moving cell, UE shall start intra/inter frequency measurements in RRC connected mode before losing coverage. The exact time to start measurements can be left to UE implementation¨</w:t>
      </w:r>
    </w:p>
    <w:p w14:paraId="6B27A7E2" w14:textId="3907424C" w:rsidR="00CC20D1" w:rsidRPr="00B165B1" w:rsidRDefault="00CC20D1" w:rsidP="00CC20D1">
      <w:pPr>
        <w:jc w:val="both"/>
        <w:rPr>
          <w:rFonts w:ascii="Arial" w:hAnsi="Arial" w:cs="Arial"/>
          <w:b/>
          <w:bCs/>
          <w:lang w:val="en-US"/>
        </w:rPr>
      </w:pPr>
      <w:r w:rsidRPr="00453D3D">
        <w:rPr>
          <w:rFonts w:ascii="Arial" w:hAnsi="Arial" w:cs="Arial"/>
          <w:b/>
          <w:bCs/>
          <w:lang w:val="en-US"/>
        </w:rPr>
        <w:t>RAN2#12</w:t>
      </w:r>
      <w:r>
        <w:rPr>
          <w:rFonts w:ascii="Arial" w:hAnsi="Arial" w:cs="Arial"/>
          <w:b/>
          <w:bCs/>
          <w:lang w:val="en-US"/>
        </w:rPr>
        <w:t>1</w:t>
      </w:r>
    </w:p>
    <w:p w14:paraId="779E62F3" w14:textId="1190D0EE"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1246EED4" w14:textId="361DB26C"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w:t>
      </w:r>
      <w:r w:rsidR="00955D58">
        <w:rPr>
          <w:rFonts w:ascii="Arial" w:hAnsi="Arial" w:cs="Arial"/>
          <w:lang w:val="en-US"/>
        </w:rPr>
        <w:t>,</w:t>
      </w:r>
      <w:r w:rsidRPr="00E62105">
        <w:rPr>
          <w:rFonts w:ascii="Arial" w:hAnsi="Arial" w:cs="Arial"/>
          <w:lang w:val="en-US"/>
        </w:rPr>
        <w:t xml:space="preserve"> Epoch time and ephemeris). FFS if the same mechanism can also be used in idle (like in NR-NTN)</w:t>
      </w:r>
    </w:p>
    <w:p w14:paraId="4644F9E1" w14:textId="77777777"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We don’t introduce any new low mobility criterion for enhanced mobility in Rel-18</w:t>
      </w:r>
    </w:p>
    <w:p w14:paraId="54055200" w14:textId="77777777" w:rsidR="00CC20D1" w:rsidRPr="00190DE7" w:rsidRDefault="00CC20D1" w:rsidP="00190DE7">
      <w:pPr>
        <w:jc w:val="both"/>
        <w:rPr>
          <w:rFonts w:ascii="Arial" w:hAnsi="Arial" w:cs="Arial"/>
          <w:lang w:val="en-US"/>
        </w:rPr>
      </w:pPr>
    </w:p>
    <w:p w14:paraId="49D4AA74" w14:textId="1C7E6578" w:rsidR="00801444" w:rsidRPr="00646224" w:rsidRDefault="00801444" w:rsidP="00DC1AD0">
      <w:pPr>
        <w:jc w:val="both"/>
        <w:rPr>
          <w:rFonts w:ascii="Arial" w:hAnsi="Arial" w:cs="Arial"/>
        </w:rPr>
      </w:pPr>
      <w:r w:rsidRPr="00646224">
        <w:rPr>
          <w:rFonts w:ascii="Arial" w:hAnsi="Arial" w:cs="Arial"/>
        </w:rPr>
        <w:t xml:space="preserve">In this </w:t>
      </w:r>
      <w:r w:rsidR="0084671A">
        <w:rPr>
          <w:rFonts w:ascii="Arial" w:hAnsi="Arial" w:cs="Arial"/>
        </w:rPr>
        <w:t>contribution</w:t>
      </w:r>
      <w:r w:rsidRPr="00646224">
        <w:rPr>
          <w:rFonts w:ascii="Arial" w:hAnsi="Arial" w:cs="Arial"/>
        </w:rPr>
        <w:t xml:space="preserve"> we </w:t>
      </w:r>
      <w:r w:rsidR="00820165">
        <w:rPr>
          <w:rFonts w:ascii="Arial" w:hAnsi="Arial" w:cs="Arial"/>
        </w:rPr>
        <w:t xml:space="preserve">continue the </w:t>
      </w:r>
      <w:r w:rsidR="00C9682D">
        <w:rPr>
          <w:rFonts w:ascii="Arial" w:hAnsi="Arial" w:cs="Arial"/>
        </w:rPr>
        <w:t>discuss</w:t>
      </w:r>
      <w:r w:rsidR="00820165">
        <w:rPr>
          <w:rFonts w:ascii="Arial" w:hAnsi="Arial" w:cs="Arial"/>
        </w:rPr>
        <w:t>ion on</w:t>
      </w:r>
      <w:r w:rsidR="00C9682D">
        <w:rPr>
          <w:rFonts w:ascii="Arial" w:hAnsi="Arial" w:cs="Arial"/>
        </w:rPr>
        <w:t xml:space="preserve"> </w:t>
      </w:r>
      <w:r w:rsidR="00F6076A">
        <w:rPr>
          <w:rFonts w:ascii="Arial" w:hAnsi="Arial" w:cs="Arial"/>
        </w:rPr>
        <w:t>how neighbour cell measurements</w:t>
      </w:r>
      <w:r w:rsidR="0015001F">
        <w:rPr>
          <w:rFonts w:ascii="Arial" w:hAnsi="Arial" w:cs="Arial"/>
        </w:rPr>
        <w:t xml:space="preserve"> can be triggered before RLF </w:t>
      </w:r>
      <w:r w:rsidR="000F6019">
        <w:rPr>
          <w:rFonts w:ascii="Arial" w:hAnsi="Arial" w:cs="Arial"/>
        </w:rPr>
        <w:t xml:space="preserve">so that </w:t>
      </w:r>
      <w:r w:rsidR="00FF1BAF">
        <w:rPr>
          <w:rFonts w:ascii="Arial" w:hAnsi="Arial" w:cs="Arial"/>
        </w:rPr>
        <w:t xml:space="preserve">time to </w:t>
      </w:r>
      <w:r w:rsidR="00FF1BAF" w:rsidRPr="00FF1BAF">
        <w:rPr>
          <w:rFonts w:ascii="Arial" w:hAnsi="Arial" w:cs="Arial"/>
        </w:rPr>
        <w:t xml:space="preserve">re-establish connection </w:t>
      </w:r>
      <w:r w:rsidR="00813431">
        <w:rPr>
          <w:rFonts w:ascii="Arial" w:hAnsi="Arial" w:cs="Arial"/>
        </w:rPr>
        <w:t>can be</w:t>
      </w:r>
      <w:r w:rsidR="00374983">
        <w:rPr>
          <w:rFonts w:ascii="Arial" w:hAnsi="Arial" w:cs="Arial"/>
        </w:rPr>
        <w:t xml:space="preserve"> shortened </w:t>
      </w:r>
      <w:r w:rsidR="00DD23F7">
        <w:rPr>
          <w:rFonts w:ascii="Arial" w:hAnsi="Arial" w:cs="Arial"/>
        </w:rPr>
        <w:t xml:space="preserve">for NB-IoT </w:t>
      </w:r>
      <w:r w:rsidR="00813431">
        <w:rPr>
          <w:rFonts w:ascii="Arial" w:hAnsi="Arial" w:cs="Arial"/>
        </w:rPr>
        <w:t xml:space="preserve">and LTE-M devices </w:t>
      </w:r>
      <w:r w:rsidR="009466BB">
        <w:rPr>
          <w:rFonts w:ascii="Arial" w:hAnsi="Arial" w:cs="Arial"/>
        </w:rPr>
        <w:t>in NTN</w:t>
      </w:r>
      <w:r w:rsidRPr="00646224">
        <w:rPr>
          <w:rFonts w:ascii="Arial" w:hAnsi="Arial" w:cs="Arial"/>
        </w:rPr>
        <w:t>.</w:t>
      </w:r>
    </w:p>
    <w:p w14:paraId="7E9BF822" w14:textId="77777777" w:rsidR="00801444" w:rsidRDefault="00801444" w:rsidP="00801444">
      <w:pPr>
        <w:pStyle w:val="Heading1"/>
      </w:pPr>
      <w:bookmarkStart w:id="0" w:name="_Ref178064866"/>
      <w:r>
        <w:t>2</w:t>
      </w:r>
      <w:r>
        <w:tab/>
      </w:r>
      <w:r w:rsidRPr="00CE0424">
        <w:t>Discussion</w:t>
      </w:r>
      <w:bookmarkEnd w:id="0"/>
    </w:p>
    <w:p w14:paraId="408B21F1" w14:textId="0ABDC883" w:rsidR="00801444" w:rsidRDefault="00801444" w:rsidP="00801444">
      <w:pPr>
        <w:pStyle w:val="Heading2"/>
      </w:pPr>
      <w:r>
        <w:t>2.1</w:t>
      </w:r>
      <w:r>
        <w:tab/>
        <w:t xml:space="preserve">Neighbour cell measurements </w:t>
      </w:r>
      <w:r w:rsidR="003D727A">
        <w:t xml:space="preserve">prior to </w:t>
      </w:r>
      <w:r>
        <w:t>RLF</w:t>
      </w:r>
    </w:p>
    <w:p w14:paraId="34A2027A" w14:textId="77777777" w:rsidR="00801444" w:rsidRPr="00BC3610" w:rsidRDefault="00801444" w:rsidP="00801444">
      <w:pPr>
        <w:pStyle w:val="Heading3"/>
      </w:pPr>
      <w:r>
        <w:t>2.1.1</w:t>
      </w:r>
      <w:r>
        <w:tab/>
        <w:t>Background</w:t>
      </w:r>
    </w:p>
    <w:p w14:paraId="078D69A6" w14:textId="4D8EC6CB" w:rsidR="000B50D4" w:rsidRDefault="002E57EF" w:rsidP="00801444">
      <w:pPr>
        <w:jc w:val="both"/>
        <w:rPr>
          <w:rFonts w:ascii="Arial" w:hAnsi="Arial" w:cs="Arial"/>
          <w:lang w:val="en-US"/>
        </w:rPr>
      </w:pPr>
      <w:r w:rsidRPr="00594DD8">
        <w:rPr>
          <w:rFonts w:ascii="Arial" w:hAnsi="Arial" w:cs="Arial"/>
        </w:rPr>
        <w:t xml:space="preserve">In NB-IoT, handover mechanism is not supported so mobility can only be triggered by RLF in connected mode. </w:t>
      </w:r>
      <w:r w:rsidR="0016651F">
        <w:rPr>
          <w:rFonts w:ascii="Arial" w:hAnsi="Arial" w:cs="Arial"/>
        </w:rPr>
        <w:t>T</w:t>
      </w:r>
      <w:r w:rsidRPr="00594DD8">
        <w:rPr>
          <w:rFonts w:ascii="Arial" w:hAnsi="Arial" w:cs="Arial"/>
        </w:rPr>
        <w:t xml:space="preserve">his is not the case for LTE-M, which is why this optional mechanism that provides indication from the network for a UE to trigger neighbour cell measurements </w:t>
      </w:r>
      <w:proofErr w:type="gramStart"/>
      <w:r w:rsidRPr="00594DD8">
        <w:rPr>
          <w:rFonts w:ascii="Arial" w:hAnsi="Arial" w:cs="Arial"/>
        </w:rPr>
        <w:t>in order to</w:t>
      </w:r>
      <w:proofErr w:type="gramEnd"/>
      <w:r w:rsidRPr="00594DD8">
        <w:rPr>
          <w:rFonts w:ascii="Arial" w:hAnsi="Arial" w:cs="Arial"/>
        </w:rPr>
        <w:t xml:space="preserve"> reduce the time it takes to re-establish RRC connection was specified only for NB-IoT in Rel-17.</w:t>
      </w:r>
      <w:r w:rsidR="00E70E12">
        <w:rPr>
          <w:rFonts w:ascii="Arial" w:hAnsi="Arial" w:cs="Arial"/>
          <w:lang w:val="en-US"/>
        </w:rPr>
        <w:t xml:space="preserve"> </w:t>
      </w:r>
      <w:r w:rsidR="009F46C4">
        <w:rPr>
          <w:rFonts w:ascii="Arial" w:hAnsi="Arial" w:cs="Arial"/>
          <w:lang w:val="en-US"/>
        </w:rPr>
        <w:t xml:space="preserve">It is a </w:t>
      </w:r>
      <w:r w:rsidR="00A77EFE">
        <w:rPr>
          <w:rFonts w:ascii="Arial" w:hAnsi="Arial" w:cs="Arial"/>
          <w:lang w:val="en-US"/>
        </w:rPr>
        <w:t xml:space="preserve">feature </w:t>
      </w:r>
      <w:r w:rsidR="009F46C4">
        <w:rPr>
          <w:rFonts w:ascii="Arial" w:hAnsi="Arial" w:cs="Arial"/>
          <w:lang w:val="en-US"/>
        </w:rPr>
        <w:t xml:space="preserve">specified for NB-IoTs </w:t>
      </w:r>
      <w:r w:rsidR="00926D40">
        <w:rPr>
          <w:rFonts w:ascii="Arial" w:hAnsi="Arial" w:cs="Arial"/>
          <w:lang w:val="en-US"/>
        </w:rPr>
        <w:t xml:space="preserve">in terrestrial networks </w:t>
      </w:r>
      <w:r w:rsidR="009F46C4">
        <w:rPr>
          <w:rFonts w:ascii="Arial" w:hAnsi="Arial" w:cs="Arial"/>
          <w:lang w:val="en-US"/>
        </w:rPr>
        <w:t xml:space="preserve">that enhances the RLF/RRC connection re-establishment mechanism </w:t>
      </w:r>
      <w:r w:rsidR="005C47E7">
        <w:rPr>
          <w:rFonts w:ascii="Arial" w:hAnsi="Arial" w:cs="Arial"/>
          <w:lang w:val="en-US"/>
        </w:rPr>
        <w:t>with the motivation mention</w:t>
      </w:r>
      <w:r w:rsidR="00CA37CF">
        <w:rPr>
          <w:rFonts w:ascii="Arial" w:hAnsi="Arial" w:cs="Arial"/>
          <w:lang w:val="en-US"/>
        </w:rPr>
        <w:t>ed</w:t>
      </w:r>
      <w:r w:rsidR="005C47E7">
        <w:rPr>
          <w:rFonts w:ascii="Arial" w:hAnsi="Arial" w:cs="Arial"/>
          <w:lang w:val="en-US"/>
        </w:rPr>
        <w:t xml:space="preserve"> above</w:t>
      </w:r>
      <w:r w:rsidR="00CA37CF">
        <w:rPr>
          <w:rFonts w:ascii="Arial" w:hAnsi="Arial" w:cs="Arial"/>
          <w:lang w:val="en-US"/>
        </w:rPr>
        <w:t xml:space="preserve">. The </w:t>
      </w:r>
      <w:r w:rsidR="00F84C2C">
        <w:rPr>
          <w:rFonts w:ascii="Arial" w:hAnsi="Arial" w:cs="Arial"/>
          <w:lang w:val="en-US"/>
        </w:rPr>
        <w:t xml:space="preserve">RLF/RRC connection re-establishment </w:t>
      </w:r>
      <w:r w:rsidR="00CA37CF">
        <w:rPr>
          <w:rFonts w:ascii="Arial" w:hAnsi="Arial" w:cs="Arial"/>
          <w:lang w:val="en-US"/>
        </w:rPr>
        <w:t xml:space="preserve">mechanism </w:t>
      </w:r>
      <w:r w:rsidR="009F46C4">
        <w:rPr>
          <w:rFonts w:ascii="Arial" w:hAnsi="Arial" w:cs="Arial"/>
          <w:lang w:val="en-US"/>
        </w:rPr>
        <w:t>is supported by both NB-IoT and LTE-M UEs</w:t>
      </w:r>
      <w:r w:rsidR="00CA37CF">
        <w:rPr>
          <w:rFonts w:ascii="Arial" w:hAnsi="Arial" w:cs="Arial"/>
          <w:lang w:val="en-US"/>
        </w:rPr>
        <w:t xml:space="preserve"> though.</w:t>
      </w:r>
    </w:p>
    <w:p w14:paraId="436876F1" w14:textId="5793B95B" w:rsidR="007F1471" w:rsidRDefault="001839F3" w:rsidP="00801444">
      <w:pPr>
        <w:jc w:val="both"/>
        <w:rPr>
          <w:rFonts w:ascii="Arial" w:hAnsi="Arial"/>
        </w:rPr>
      </w:pPr>
      <w:r w:rsidRPr="006016D6">
        <w:rPr>
          <w:rFonts w:ascii="Arial" w:hAnsi="Arial"/>
        </w:rPr>
        <w:t>In Rel-18, the objective is to introduce a mechanism for both NB-IoT and LTE-M UEs in NTN based on the mechanism specified for NB-IoT UEs in TN</w:t>
      </w:r>
      <w:r w:rsidR="00AA0BB8">
        <w:rPr>
          <w:rFonts w:ascii="Arial" w:hAnsi="Arial"/>
        </w:rPr>
        <w:t xml:space="preserve"> in Rel-17</w:t>
      </w:r>
      <w:r w:rsidR="00DF097E">
        <w:rPr>
          <w:rFonts w:ascii="Arial" w:hAnsi="Arial"/>
        </w:rPr>
        <w:t xml:space="preserve"> with the same intention</w:t>
      </w:r>
      <w:r w:rsidR="00AE6A65">
        <w:rPr>
          <w:rFonts w:ascii="Arial" w:hAnsi="Arial"/>
        </w:rPr>
        <w:t xml:space="preserve">, i.e., to </w:t>
      </w:r>
      <w:r w:rsidRPr="006016D6">
        <w:rPr>
          <w:rFonts w:ascii="Arial" w:hAnsi="Arial"/>
        </w:rPr>
        <w:t>enhance the RLF/RRC connection re-establishment mechanism.</w:t>
      </w:r>
      <w:r w:rsidR="006E79AF">
        <w:rPr>
          <w:rFonts w:ascii="Arial" w:hAnsi="Arial"/>
        </w:rPr>
        <w:t xml:space="preserve"> Considering that RLF/RRC re</w:t>
      </w:r>
      <w:r w:rsidR="00763B4F">
        <w:rPr>
          <w:rFonts w:ascii="Arial" w:hAnsi="Arial"/>
        </w:rPr>
        <w:t xml:space="preserve">-establishment procedures </w:t>
      </w:r>
      <w:r w:rsidR="00524E0D">
        <w:rPr>
          <w:rFonts w:ascii="Arial" w:hAnsi="Arial"/>
        </w:rPr>
        <w:t xml:space="preserve">are supported </w:t>
      </w:r>
      <w:r w:rsidR="0094355A">
        <w:rPr>
          <w:rFonts w:ascii="Arial" w:hAnsi="Arial"/>
        </w:rPr>
        <w:t xml:space="preserve">by both NB-IoT and LTE-M devices, we see no reason why </w:t>
      </w:r>
      <w:r w:rsidR="004D2D27">
        <w:rPr>
          <w:rFonts w:ascii="Arial" w:hAnsi="Arial"/>
        </w:rPr>
        <w:t xml:space="preserve">this </w:t>
      </w:r>
      <w:proofErr w:type="gramStart"/>
      <w:r w:rsidR="004D2D27">
        <w:rPr>
          <w:rFonts w:ascii="Arial" w:hAnsi="Arial"/>
        </w:rPr>
        <w:t>particular enhancement</w:t>
      </w:r>
      <w:proofErr w:type="gramEnd"/>
      <w:r w:rsidR="004D2D27">
        <w:rPr>
          <w:rFonts w:ascii="Arial" w:hAnsi="Arial"/>
        </w:rPr>
        <w:t xml:space="preserve"> in Rel-18 </w:t>
      </w:r>
      <w:r w:rsidR="005306D7">
        <w:rPr>
          <w:rFonts w:ascii="Arial" w:hAnsi="Arial"/>
        </w:rPr>
        <w:t xml:space="preserve">should not be specified for both </w:t>
      </w:r>
      <w:r w:rsidR="002F1C41">
        <w:rPr>
          <w:rFonts w:ascii="Arial" w:hAnsi="Arial"/>
        </w:rPr>
        <w:t>NB-IoT and LTE-M</w:t>
      </w:r>
      <w:r w:rsidR="005306D7">
        <w:rPr>
          <w:rFonts w:ascii="Arial" w:hAnsi="Arial"/>
        </w:rPr>
        <w:t xml:space="preserve"> devices</w:t>
      </w:r>
      <w:r w:rsidR="0038686E">
        <w:rPr>
          <w:rFonts w:ascii="Arial" w:hAnsi="Arial"/>
        </w:rPr>
        <w:t xml:space="preserve"> provided that </w:t>
      </w:r>
      <w:r w:rsidR="001779B4">
        <w:rPr>
          <w:rFonts w:ascii="Arial" w:hAnsi="Arial"/>
        </w:rPr>
        <w:t>legacy measurement procedures</w:t>
      </w:r>
      <w:r w:rsidR="000C3FFD">
        <w:rPr>
          <w:rFonts w:ascii="Arial" w:hAnsi="Arial"/>
        </w:rPr>
        <w:t xml:space="preserve"> </w:t>
      </w:r>
      <w:r w:rsidR="0065735A">
        <w:rPr>
          <w:rFonts w:ascii="Arial" w:hAnsi="Arial"/>
        </w:rPr>
        <w:t>a</w:t>
      </w:r>
      <w:r w:rsidR="006F3AF9">
        <w:rPr>
          <w:rFonts w:ascii="Arial" w:hAnsi="Arial"/>
        </w:rPr>
        <w:t xml:space="preserve">re </w:t>
      </w:r>
      <w:r w:rsidR="0065735A">
        <w:rPr>
          <w:rFonts w:ascii="Arial" w:hAnsi="Arial"/>
        </w:rPr>
        <w:t>not affected</w:t>
      </w:r>
      <w:r w:rsidR="006F3AF9">
        <w:rPr>
          <w:rFonts w:ascii="Arial" w:hAnsi="Arial"/>
        </w:rPr>
        <w:t>.</w:t>
      </w:r>
    </w:p>
    <w:p w14:paraId="3772C430" w14:textId="0BDF414F" w:rsidR="00117A6C" w:rsidRDefault="00652213" w:rsidP="00801444">
      <w:pPr>
        <w:jc w:val="both"/>
        <w:rPr>
          <w:rFonts w:ascii="Arial" w:hAnsi="Arial"/>
        </w:rPr>
      </w:pPr>
      <w:r>
        <w:rPr>
          <w:rFonts w:ascii="Arial" w:hAnsi="Arial"/>
        </w:rPr>
        <w:t xml:space="preserve">Another aspect to consider is </w:t>
      </w:r>
      <w:r w:rsidR="0005447B">
        <w:rPr>
          <w:rFonts w:ascii="Arial" w:hAnsi="Arial"/>
        </w:rPr>
        <w:t xml:space="preserve">the </w:t>
      </w:r>
      <w:r w:rsidR="00117A6C">
        <w:rPr>
          <w:rFonts w:ascii="Arial" w:hAnsi="Arial"/>
        </w:rPr>
        <w:t xml:space="preserve">highlighted </w:t>
      </w:r>
      <w:r w:rsidR="0005447B">
        <w:rPr>
          <w:rFonts w:ascii="Arial" w:hAnsi="Arial"/>
        </w:rPr>
        <w:t>statement</w:t>
      </w:r>
      <w:r w:rsidR="00117A6C">
        <w:rPr>
          <w:rFonts w:ascii="Arial" w:hAnsi="Arial"/>
        </w:rPr>
        <w:t>s below</w:t>
      </w:r>
      <w:r w:rsidR="0005447B">
        <w:rPr>
          <w:rFonts w:ascii="Arial" w:hAnsi="Arial"/>
        </w:rPr>
        <w:t xml:space="preserve"> captured in TS 38.300</w:t>
      </w:r>
      <w:r w:rsidR="006F3AF9">
        <w:rPr>
          <w:rFonts w:ascii="Arial" w:hAnsi="Arial"/>
        </w:rPr>
        <w:t xml:space="preserve"> for NR NTN devices</w:t>
      </w:r>
      <w:r w:rsidR="00D822D8">
        <w:rPr>
          <w:rFonts w:ascii="Arial" w:hAnsi="Arial"/>
        </w:rPr>
        <w:t>:</w:t>
      </w:r>
    </w:p>
    <w:p w14:paraId="0FA93D8A" w14:textId="77777777" w:rsidR="00730F2C" w:rsidRPr="00730F2C" w:rsidRDefault="00730F2C" w:rsidP="00730F2C">
      <w:pPr>
        <w:keepNext/>
        <w:keepLines/>
        <w:spacing w:before="120"/>
        <w:ind w:left="1418" w:hanging="1418"/>
        <w:outlineLvl w:val="3"/>
        <w:rPr>
          <w:rFonts w:ascii="Arial" w:hAnsi="Arial"/>
          <w:sz w:val="24"/>
        </w:rPr>
      </w:pPr>
      <w:r w:rsidRPr="00730F2C">
        <w:rPr>
          <w:rFonts w:ascii="Arial" w:hAnsi="Arial"/>
          <w:sz w:val="24"/>
        </w:rPr>
        <w:t>6.14.3.3</w:t>
      </w:r>
      <w:r w:rsidRPr="00730F2C">
        <w:rPr>
          <w:rFonts w:ascii="Arial" w:hAnsi="Arial"/>
          <w:sz w:val="24"/>
        </w:rPr>
        <w:tab/>
        <w:t>Measurements</w:t>
      </w:r>
    </w:p>
    <w:p w14:paraId="6AAAA222" w14:textId="77777777" w:rsidR="00730F2C" w:rsidRPr="00730F2C" w:rsidRDefault="00730F2C" w:rsidP="00730F2C">
      <w:r w:rsidRPr="00730F2C">
        <w:t>The same principle as described in 9.2.4 applies to measurements in NTN unless hereunder specified.</w:t>
      </w:r>
    </w:p>
    <w:p w14:paraId="2F1AEBBD" w14:textId="77777777" w:rsidR="00730F2C" w:rsidRPr="00730F2C" w:rsidRDefault="00730F2C" w:rsidP="00730F2C">
      <w:r w:rsidRPr="00730F2C">
        <w:lastRenderedPageBreak/>
        <w:t>The network can configure:</w:t>
      </w:r>
    </w:p>
    <w:p w14:paraId="36D26F07" w14:textId="77777777" w:rsidR="00730F2C" w:rsidRPr="00730F2C" w:rsidRDefault="00730F2C" w:rsidP="00730F2C">
      <w:pPr>
        <w:ind w:left="568" w:hanging="284"/>
      </w:pPr>
      <w:r w:rsidRPr="00730F2C">
        <w:t>-</w:t>
      </w:r>
      <w:r w:rsidRPr="00730F2C">
        <w:tab/>
        <w:t xml:space="preserve">multiple SMTCs in parallel per carrier and for a given set of cells depending on UE </w:t>
      </w:r>
      <w:proofErr w:type="gramStart"/>
      <w:r w:rsidRPr="00730F2C">
        <w:t>capabilities;</w:t>
      </w:r>
      <w:proofErr w:type="gramEnd"/>
    </w:p>
    <w:p w14:paraId="41FA3051" w14:textId="77777777" w:rsidR="00730F2C" w:rsidRPr="00730F2C" w:rsidRDefault="00730F2C" w:rsidP="00730F2C">
      <w:pPr>
        <w:ind w:left="568" w:hanging="284"/>
      </w:pPr>
      <w:r w:rsidRPr="00730F2C">
        <w:t>-</w:t>
      </w:r>
      <w:r w:rsidRPr="00730F2C">
        <w:tab/>
        <w:t xml:space="preserve">measurement gaps based on multiple </w:t>
      </w:r>
      <w:proofErr w:type="gramStart"/>
      <w:r w:rsidRPr="00730F2C">
        <w:t>SMTCs;</w:t>
      </w:r>
      <w:proofErr w:type="gramEnd"/>
    </w:p>
    <w:p w14:paraId="361C65EC" w14:textId="77777777" w:rsidR="00730F2C" w:rsidRPr="00730F2C" w:rsidRDefault="00730F2C" w:rsidP="00730F2C">
      <w:pPr>
        <w:ind w:left="568" w:hanging="284"/>
      </w:pPr>
      <w:r w:rsidRPr="00730F2C">
        <w:t>-</w:t>
      </w:r>
      <w:r w:rsidRPr="00730F2C">
        <w:tab/>
        <w:t>assistance information (e.g., ephemeris, Common TA parameters) provided in SIB19 for UE to perform measurement on neighbour cells in RRC_IDLE/RRC_INACTIVE/RRC_CONNECTED.</w:t>
      </w:r>
    </w:p>
    <w:p w14:paraId="7A7EE80C" w14:textId="77777777" w:rsidR="00730F2C" w:rsidRPr="00730F2C" w:rsidRDefault="00730F2C" w:rsidP="00730F2C">
      <w:r w:rsidRPr="00730F2C">
        <w:t>NW-controlled adjustment of SMTCs can be based on UE assistance information reported in RRC_CONNECTED. A UE in RRC_IDLE/RRC_INACTIVE can adjust SMTCs based on its location and assistance information in SIB19.</w:t>
      </w:r>
    </w:p>
    <w:p w14:paraId="719901FA" w14:textId="77777777" w:rsidR="00730F2C" w:rsidRPr="00730F2C" w:rsidRDefault="00730F2C" w:rsidP="00730F2C">
      <w:r w:rsidRPr="00730F2C">
        <w:t xml:space="preserve">UE assistance information consists of the service link propagation delay difference(s) </w:t>
      </w:r>
      <w:r w:rsidRPr="00730F2C">
        <w:rPr>
          <w:lang w:eastAsia="zh-CN"/>
        </w:rPr>
        <w:t>between</w:t>
      </w:r>
      <w:r w:rsidRPr="00730F2C">
        <w:t xml:space="preserve"> </w:t>
      </w:r>
      <w:r w:rsidRPr="00730F2C">
        <w:rPr>
          <w:lang w:eastAsia="zh-CN"/>
        </w:rPr>
        <w:t>serving</w:t>
      </w:r>
      <w:r w:rsidRPr="00730F2C">
        <w:t xml:space="preserve"> the cell and neighbour cell(s).</w:t>
      </w:r>
    </w:p>
    <w:p w14:paraId="15EDCA23" w14:textId="77777777" w:rsidR="00730F2C" w:rsidRPr="00730F2C" w:rsidRDefault="00730F2C" w:rsidP="00730F2C">
      <w:pPr>
        <w:rPr>
          <w:highlight w:val="yellow"/>
        </w:rPr>
      </w:pPr>
      <w:r w:rsidRPr="00730F2C">
        <w:rPr>
          <w:highlight w:val="yellow"/>
        </w:rPr>
        <w:t>For a UE in Idle/Inactive mode it's up to UE implementation whether to perform NTN neighbour cell measurements on a cell indicated in SIB4 but not included in SIB19.</w:t>
      </w:r>
    </w:p>
    <w:p w14:paraId="5E704CFF" w14:textId="77777777" w:rsidR="00730F2C" w:rsidRPr="00730F2C" w:rsidRDefault="00730F2C" w:rsidP="00730F2C">
      <w:r w:rsidRPr="00730F2C">
        <w:rPr>
          <w:highlight w:val="yellow"/>
        </w:rPr>
        <w:t>For a UE in Connected mode, it's up to UE implementation whether to perform NTN neighbour cell measurements on a cell included in the measurement configuration but not included in SIB19.</w:t>
      </w:r>
    </w:p>
    <w:p w14:paraId="1546B9E4" w14:textId="77777777" w:rsidR="00730F2C" w:rsidRPr="00730F2C" w:rsidRDefault="00730F2C" w:rsidP="00730F2C">
      <w:pPr>
        <w:rPr>
          <w:rFonts w:eastAsia="Malgun Gothic"/>
          <w:lang w:eastAsia="ko-KR"/>
        </w:rPr>
      </w:pPr>
      <w:r w:rsidRPr="00730F2C">
        <w:rPr>
          <w:rFonts w:eastAsia="Malgun Gothic"/>
          <w:lang w:eastAsia="ko-KR"/>
        </w:rPr>
        <w:t>In the quasi-earth fixed cell scenario, UE can perform time-based and location-based measurements on neighbour cells in RRC_IDLE/RRC_INACTIVE:</w:t>
      </w:r>
    </w:p>
    <w:p w14:paraId="55561ED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The timing and location information associated to the serving cell is provided in </w:t>
      </w:r>
      <w:proofErr w:type="gramStart"/>
      <w:r w:rsidRPr="00730F2C">
        <w:rPr>
          <w:rFonts w:eastAsia="Malgun Gothic"/>
          <w:lang w:eastAsia="ko-KR"/>
        </w:rPr>
        <w:t>SIB19;</w:t>
      </w:r>
      <w:proofErr w:type="gramEnd"/>
    </w:p>
    <w:p w14:paraId="63EA1517"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Timing information refers to the UTC time when the serving cell stops serving the current geographical </w:t>
      </w:r>
      <w:proofErr w:type="gramStart"/>
      <w:r w:rsidRPr="00730F2C">
        <w:rPr>
          <w:rFonts w:eastAsia="Malgun Gothic"/>
          <w:lang w:eastAsia="ko-KR"/>
        </w:rPr>
        <w:t>area;</w:t>
      </w:r>
      <w:proofErr w:type="gramEnd"/>
    </w:p>
    <w:p w14:paraId="2637FE4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Location information refers to the reference location of the serving cell and a distance threshold to the reference location.</w:t>
      </w:r>
    </w:p>
    <w:p w14:paraId="4D22CB59" w14:textId="77777777" w:rsidR="00730F2C" w:rsidRPr="00730F2C" w:rsidRDefault="00730F2C" w:rsidP="00730F2C">
      <w:pPr>
        <w:rPr>
          <w:rFonts w:eastAsia="Malgun Gothic"/>
          <w:lang w:eastAsia="ko-KR"/>
        </w:rPr>
      </w:pPr>
      <w:r w:rsidRPr="00730F2C">
        <w:rPr>
          <w:rFonts w:eastAsia="Malgun Gothic"/>
          <w:lang w:eastAsia="ko-KR"/>
        </w:rPr>
        <w:t>Measurement rules for cell re-selection based on timing information and location information are specified in clause 5.2.4.2 in TS 38.304 [10].</w:t>
      </w:r>
    </w:p>
    <w:p w14:paraId="6FF4514D" w14:textId="5F94C18F" w:rsidR="00EF0D13" w:rsidRPr="00EF0D13" w:rsidRDefault="00EF0D13" w:rsidP="00EF0D13">
      <w:pPr>
        <w:jc w:val="both"/>
        <w:rPr>
          <w:rFonts w:ascii="Arial" w:hAnsi="Arial"/>
        </w:rPr>
      </w:pPr>
      <w:r>
        <w:rPr>
          <w:rFonts w:ascii="Arial" w:hAnsi="Arial"/>
        </w:rPr>
        <w:t xml:space="preserve">The text above states that </w:t>
      </w:r>
      <w:r w:rsidRPr="00EF0D13">
        <w:rPr>
          <w:rFonts w:ascii="Arial" w:hAnsi="Arial"/>
        </w:rPr>
        <w:t xml:space="preserve">it is up to UE implementation to measure NTN neighbour cells </w:t>
      </w:r>
      <w:r w:rsidR="006920C4">
        <w:rPr>
          <w:rFonts w:ascii="Arial" w:hAnsi="Arial"/>
        </w:rPr>
        <w:t xml:space="preserve">if </w:t>
      </w:r>
      <w:r w:rsidRPr="00EF0D13">
        <w:rPr>
          <w:rFonts w:ascii="Arial" w:hAnsi="Arial"/>
        </w:rPr>
        <w:t xml:space="preserve">satellite assistance information </w:t>
      </w:r>
      <w:r w:rsidR="00F7462B">
        <w:rPr>
          <w:rFonts w:ascii="Arial" w:hAnsi="Arial"/>
        </w:rPr>
        <w:t xml:space="preserve">for the cell </w:t>
      </w:r>
      <w:r w:rsidRPr="00EF0D13">
        <w:rPr>
          <w:rFonts w:ascii="Arial" w:hAnsi="Arial"/>
        </w:rPr>
        <w:t>is not provided</w:t>
      </w:r>
      <w:r w:rsidR="00F7462B">
        <w:rPr>
          <w:rFonts w:ascii="Arial" w:hAnsi="Arial"/>
        </w:rPr>
        <w:t xml:space="preserve"> in SIB19.</w:t>
      </w:r>
      <w:r w:rsidRPr="00EF0D13">
        <w:rPr>
          <w:rFonts w:ascii="Arial" w:hAnsi="Arial"/>
        </w:rPr>
        <w:t xml:space="preserve"> This applies to both RRC_CONNECTED and RRC_IDLE modes. Thus, if </w:t>
      </w:r>
      <w:r w:rsidR="00E34B7F">
        <w:rPr>
          <w:rFonts w:ascii="Arial" w:hAnsi="Arial"/>
        </w:rPr>
        <w:t xml:space="preserve">the related </w:t>
      </w:r>
      <w:r w:rsidR="00F8606F">
        <w:rPr>
          <w:rFonts w:ascii="Arial" w:hAnsi="Arial"/>
        </w:rPr>
        <w:t>content</w:t>
      </w:r>
      <w:r w:rsidR="000422AD">
        <w:rPr>
          <w:rFonts w:ascii="Arial" w:hAnsi="Arial"/>
        </w:rPr>
        <w:t xml:space="preserve"> is </w:t>
      </w:r>
      <w:r w:rsidR="00F8606F">
        <w:rPr>
          <w:rFonts w:ascii="Arial" w:hAnsi="Arial"/>
        </w:rPr>
        <w:t xml:space="preserve">not available </w:t>
      </w:r>
      <w:r w:rsidR="000422AD">
        <w:rPr>
          <w:rFonts w:ascii="Arial" w:hAnsi="Arial"/>
        </w:rPr>
        <w:t xml:space="preserve">in </w:t>
      </w:r>
      <w:r w:rsidRPr="00EF0D13">
        <w:rPr>
          <w:rFonts w:ascii="Arial" w:hAnsi="Arial"/>
        </w:rPr>
        <w:t>SIB19</w:t>
      </w:r>
      <w:r w:rsidR="000422AD">
        <w:rPr>
          <w:rFonts w:ascii="Arial" w:hAnsi="Arial"/>
        </w:rPr>
        <w:t xml:space="preserve">, </w:t>
      </w:r>
      <w:r w:rsidRPr="00EF0D13">
        <w:rPr>
          <w:rFonts w:ascii="Arial" w:hAnsi="Arial"/>
        </w:rPr>
        <w:t xml:space="preserve">a UE may not </w:t>
      </w:r>
      <w:r w:rsidR="00DF5B9C">
        <w:rPr>
          <w:rFonts w:ascii="Arial" w:hAnsi="Arial"/>
        </w:rPr>
        <w:t xml:space="preserve">perform </w:t>
      </w:r>
      <w:r w:rsidRPr="00EF0D13">
        <w:rPr>
          <w:rFonts w:ascii="Arial" w:hAnsi="Arial"/>
        </w:rPr>
        <w:t>measure</w:t>
      </w:r>
      <w:r w:rsidR="00DF5B9C">
        <w:rPr>
          <w:rFonts w:ascii="Arial" w:hAnsi="Arial"/>
        </w:rPr>
        <w:t>ment</w:t>
      </w:r>
      <w:r w:rsidR="008759F6">
        <w:rPr>
          <w:rFonts w:ascii="Arial" w:hAnsi="Arial"/>
        </w:rPr>
        <w:t>s</w:t>
      </w:r>
      <w:r w:rsidRPr="00EF0D13">
        <w:rPr>
          <w:rFonts w:ascii="Arial" w:hAnsi="Arial"/>
        </w:rPr>
        <w:t xml:space="preserve"> </w:t>
      </w:r>
      <w:r w:rsidR="002F2030">
        <w:rPr>
          <w:rFonts w:ascii="Arial" w:hAnsi="Arial"/>
        </w:rPr>
        <w:t xml:space="preserve">for the corresponding </w:t>
      </w:r>
      <w:r w:rsidRPr="00EF0D13">
        <w:rPr>
          <w:rFonts w:ascii="Arial" w:hAnsi="Arial"/>
        </w:rPr>
        <w:t xml:space="preserve">NTN neighbour cell </w:t>
      </w:r>
      <w:r w:rsidR="00CE12BD">
        <w:rPr>
          <w:rFonts w:ascii="Arial" w:hAnsi="Arial"/>
        </w:rPr>
        <w:t>which would r</w:t>
      </w:r>
      <w:r w:rsidRPr="00EF0D13">
        <w:rPr>
          <w:rFonts w:ascii="Arial" w:hAnsi="Arial"/>
        </w:rPr>
        <w:t>estrict mobility.</w:t>
      </w:r>
    </w:p>
    <w:p w14:paraId="2E1DBF6B" w14:textId="77777777" w:rsidR="00D5795C" w:rsidRDefault="00D5795C" w:rsidP="00D5795C">
      <w:pPr>
        <w:jc w:val="both"/>
        <w:rPr>
          <w:rFonts w:cs="Arial"/>
        </w:rPr>
      </w:pPr>
    </w:p>
    <w:p w14:paraId="464536B9" w14:textId="59AC6203" w:rsidR="00D5795C" w:rsidRDefault="005549F1" w:rsidP="00D5795C">
      <w:pPr>
        <w:pStyle w:val="Observation"/>
      </w:pPr>
      <w:bookmarkStart w:id="1" w:name="_Toc131710056"/>
      <w:r>
        <w:t xml:space="preserve">A UE may not </w:t>
      </w:r>
      <w:r w:rsidR="008759F6">
        <w:t xml:space="preserve">perform measurements for an NTN </w:t>
      </w:r>
      <w:r w:rsidR="009712AB">
        <w:t xml:space="preserve">neighbour cell if satellite assistance information for the </w:t>
      </w:r>
      <w:r w:rsidR="00640680">
        <w:t xml:space="preserve">cell </w:t>
      </w:r>
      <w:r w:rsidR="009712AB">
        <w:t>is not provided in SIB19.</w:t>
      </w:r>
      <w:bookmarkEnd w:id="1"/>
    </w:p>
    <w:p w14:paraId="685142A7" w14:textId="77777777" w:rsidR="00D5795C" w:rsidRPr="009859A4" w:rsidRDefault="00D5795C" w:rsidP="00D5795C">
      <w:pPr>
        <w:jc w:val="both"/>
        <w:rPr>
          <w:rFonts w:ascii="Arial" w:hAnsi="Arial" w:cs="Arial"/>
        </w:rPr>
      </w:pPr>
    </w:p>
    <w:p w14:paraId="3D6D07C0" w14:textId="76633609" w:rsidR="00D5795C" w:rsidRDefault="00AF1C8E" w:rsidP="00EF0D13">
      <w:pPr>
        <w:jc w:val="both"/>
        <w:rPr>
          <w:rFonts w:ascii="Arial" w:hAnsi="Arial"/>
        </w:rPr>
      </w:pPr>
      <w:r>
        <w:rPr>
          <w:rFonts w:ascii="Arial" w:hAnsi="Arial"/>
        </w:rPr>
        <w:t>RAN2 received an LS</w:t>
      </w:r>
      <w:r w:rsidR="00E35CBF">
        <w:rPr>
          <w:rFonts w:ascii="Arial" w:hAnsi="Arial"/>
        </w:rPr>
        <w:t xml:space="preserve">, i.e., </w:t>
      </w:r>
      <w:r w:rsidR="00E35CBF" w:rsidRPr="00677E81">
        <w:rPr>
          <w:rFonts w:ascii="Arial" w:hAnsi="Arial"/>
        </w:rPr>
        <w:t>R2-2211171</w:t>
      </w:r>
      <w:r w:rsidR="00E35CBF">
        <w:rPr>
          <w:rFonts w:ascii="Arial" w:hAnsi="Arial"/>
        </w:rPr>
        <w:t>,</w:t>
      </w:r>
      <w:r>
        <w:rPr>
          <w:rFonts w:ascii="Arial" w:hAnsi="Arial"/>
        </w:rPr>
        <w:t xml:space="preserve"> from RAN4 </w:t>
      </w:r>
      <w:r w:rsidR="00E35CBF">
        <w:rPr>
          <w:rFonts w:ascii="Arial" w:hAnsi="Arial"/>
        </w:rPr>
        <w:t>i</w:t>
      </w:r>
      <w:r w:rsidR="00801E36">
        <w:rPr>
          <w:rFonts w:ascii="Arial" w:hAnsi="Arial"/>
        </w:rPr>
        <w:t xml:space="preserve">n </w:t>
      </w:r>
      <w:r w:rsidR="00E609DB">
        <w:rPr>
          <w:rFonts w:ascii="Arial" w:hAnsi="Arial"/>
        </w:rPr>
        <w:t>RAN2#1</w:t>
      </w:r>
      <w:r w:rsidR="00035A6D">
        <w:rPr>
          <w:rFonts w:ascii="Arial" w:hAnsi="Arial"/>
        </w:rPr>
        <w:t>20</w:t>
      </w:r>
      <w:r w:rsidR="00E35CBF">
        <w:rPr>
          <w:rFonts w:ascii="Arial" w:hAnsi="Arial"/>
        </w:rPr>
        <w:t xml:space="preserve">. </w:t>
      </w:r>
      <w:r w:rsidR="00F12690">
        <w:rPr>
          <w:rFonts w:ascii="Arial" w:hAnsi="Arial"/>
        </w:rPr>
        <w:t xml:space="preserve">In the LS RAN4 informed RAN2 that </w:t>
      </w:r>
      <w:r w:rsidR="00355512">
        <w:rPr>
          <w:rFonts w:ascii="Arial" w:hAnsi="Arial"/>
        </w:rPr>
        <w:t xml:space="preserve">the following agreement </w:t>
      </w:r>
      <w:r w:rsidR="001250EC">
        <w:rPr>
          <w:rFonts w:ascii="Arial" w:hAnsi="Arial"/>
        </w:rPr>
        <w:t>was</w:t>
      </w:r>
      <w:r w:rsidR="00355512">
        <w:rPr>
          <w:rFonts w:ascii="Arial" w:hAnsi="Arial"/>
        </w:rPr>
        <w:t xml:space="preserve"> reached:</w:t>
      </w:r>
    </w:p>
    <w:p w14:paraId="0ADE3BCA" w14:textId="3D89D231" w:rsidR="00B25713" w:rsidRPr="00B25713" w:rsidRDefault="00355ED7" w:rsidP="00B25713">
      <w:pPr>
        <w:jc w:val="both"/>
        <w:rPr>
          <w:rFonts w:ascii="Arial" w:hAnsi="Arial"/>
        </w:rPr>
      </w:pPr>
      <w:r>
        <w:rPr>
          <w:rFonts w:ascii="Arial" w:hAnsi="Arial"/>
        </w:rPr>
        <w:t>“</w:t>
      </w:r>
      <w:r w:rsidR="00B25713" w:rsidRPr="00B25713">
        <w:rPr>
          <w:rFonts w:ascii="Arial" w:hAnsi="Arial"/>
        </w:rPr>
        <w:t>Similar as NR NTN, the mobility and measurement requirements for IoT NTN apply provided that valid information for the neighbour/target cell is made available to the UE.</w:t>
      </w:r>
      <w:r w:rsidR="00743E3B">
        <w:rPr>
          <w:rFonts w:ascii="Arial" w:hAnsi="Arial"/>
        </w:rPr>
        <w:t>”</w:t>
      </w:r>
    </w:p>
    <w:p w14:paraId="1887D5B2" w14:textId="44609EEC" w:rsidR="00D5795C" w:rsidRDefault="006C0226" w:rsidP="00EF0D13">
      <w:pPr>
        <w:jc w:val="both"/>
        <w:rPr>
          <w:rFonts w:ascii="Arial" w:hAnsi="Arial"/>
        </w:rPr>
      </w:pPr>
      <w:r>
        <w:rPr>
          <w:rFonts w:ascii="Arial" w:hAnsi="Arial"/>
        </w:rPr>
        <w:t>In response</w:t>
      </w:r>
      <w:r w:rsidR="003318EA">
        <w:rPr>
          <w:rFonts w:ascii="Arial" w:hAnsi="Arial"/>
        </w:rPr>
        <w:t xml:space="preserve">, RAN2 stated </w:t>
      </w:r>
      <w:r w:rsidR="00D65F76">
        <w:rPr>
          <w:rFonts w:ascii="Arial" w:hAnsi="Arial"/>
        </w:rPr>
        <w:t xml:space="preserve">in an LS to RAN4 </w:t>
      </w:r>
      <w:r w:rsidR="003318EA">
        <w:rPr>
          <w:rFonts w:ascii="Arial" w:hAnsi="Arial"/>
        </w:rPr>
        <w:t xml:space="preserve">that </w:t>
      </w:r>
      <w:r w:rsidR="00B658AD">
        <w:rPr>
          <w:rFonts w:ascii="Arial" w:hAnsi="Arial"/>
        </w:rPr>
        <w:t>“</w:t>
      </w:r>
      <w:r w:rsidR="003C0A78">
        <w:rPr>
          <w:rFonts w:ascii="Arial" w:hAnsi="Arial"/>
        </w:rPr>
        <w:t>f</w:t>
      </w:r>
      <w:r w:rsidR="00FF3A4E" w:rsidRPr="00FF3A4E">
        <w:rPr>
          <w:rFonts w:ascii="Arial" w:hAnsi="Arial"/>
        </w:rPr>
        <w:t>or neighbo</w:t>
      </w:r>
      <w:r w:rsidR="003C0A78">
        <w:rPr>
          <w:rFonts w:ascii="Arial" w:hAnsi="Arial"/>
        </w:rPr>
        <w:t>u</w:t>
      </w:r>
      <w:r w:rsidR="00FF3A4E" w:rsidRPr="00FF3A4E">
        <w:rPr>
          <w:rFonts w:ascii="Arial" w:hAnsi="Arial"/>
        </w:rPr>
        <w:t xml:space="preserve">r cell measurements, </w:t>
      </w:r>
      <w:r w:rsidR="003C0A78">
        <w:rPr>
          <w:rFonts w:ascii="Arial" w:hAnsi="Arial"/>
        </w:rPr>
        <w:t xml:space="preserve">it has been </w:t>
      </w:r>
      <w:r w:rsidR="00F165B0">
        <w:rPr>
          <w:rFonts w:ascii="Arial" w:hAnsi="Arial"/>
        </w:rPr>
        <w:t xml:space="preserve">agreed </w:t>
      </w:r>
      <w:r w:rsidR="00FF3A4E" w:rsidRPr="00FF3A4E">
        <w:rPr>
          <w:rFonts w:ascii="Arial" w:hAnsi="Arial"/>
        </w:rPr>
        <w:t xml:space="preserve">not to introduce </w:t>
      </w:r>
      <w:r w:rsidR="00F402A1">
        <w:rPr>
          <w:rFonts w:ascii="Arial" w:hAnsi="Arial"/>
        </w:rPr>
        <w:t xml:space="preserve">the </w:t>
      </w:r>
      <w:r w:rsidR="00FF3A4E" w:rsidRPr="00FF3A4E">
        <w:rPr>
          <w:rFonts w:ascii="Arial" w:hAnsi="Arial"/>
        </w:rPr>
        <w:t>satellite assistance information of neighbour cells in system information in Rel-17 IoT NTN, but this will be supported in Rel-18.</w:t>
      </w:r>
      <w:r w:rsidR="00B658AD">
        <w:rPr>
          <w:rFonts w:ascii="Arial" w:hAnsi="Arial"/>
        </w:rPr>
        <w:t>”</w:t>
      </w:r>
      <w:r w:rsidR="001F0231">
        <w:rPr>
          <w:rFonts w:ascii="Arial" w:hAnsi="Arial"/>
        </w:rPr>
        <w:t xml:space="preserve"> </w:t>
      </w:r>
      <w:r w:rsidR="00CF63BD">
        <w:rPr>
          <w:rFonts w:ascii="Arial" w:hAnsi="Arial"/>
        </w:rPr>
        <w:t xml:space="preserve">Note that even </w:t>
      </w:r>
      <w:r w:rsidR="003C14F0">
        <w:rPr>
          <w:rFonts w:ascii="Arial" w:hAnsi="Arial"/>
        </w:rPr>
        <w:t xml:space="preserve">if </w:t>
      </w:r>
      <w:r w:rsidR="009A4865">
        <w:rPr>
          <w:rFonts w:ascii="Arial" w:hAnsi="Arial"/>
        </w:rPr>
        <w:t xml:space="preserve">such </w:t>
      </w:r>
      <w:r w:rsidR="00216950">
        <w:rPr>
          <w:rFonts w:ascii="Arial" w:hAnsi="Arial"/>
        </w:rPr>
        <w:t xml:space="preserve">information </w:t>
      </w:r>
      <w:r w:rsidR="00D27FAB">
        <w:rPr>
          <w:rFonts w:ascii="Arial" w:hAnsi="Arial"/>
        </w:rPr>
        <w:t xml:space="preserve">is introduced </w:t>
      </w:r>
      <w:r w:rsidR="00D823ED">
        <w:rPr>
          <w:rFonts w:ascii="Arial" w:hAnsi="Arial"/>
        </w:rPr>
        <w:t xml:space="preserve">satellite assistance information can </w:t>
      </w:r>
      <w:r w:rsidR="001C5BB6">
        <w:rPr>
          <w:rFonts w:ascii="Arial" w:hAnsi="Arial"/>
        </w:rPr>
        <w:t xml:space="preserve">only </w:t>
      </w:r>
      <w:r w:rsidR="008D15C5">
        <w:rPr>
          <w:rFonts w:ascii="Arial" w:hAnsi="Arial"/>
        </w:rPr>
        <w:t xml:space="preserve">be provided </w:t>
      </w:r>
      <w:r w:rsidR="005B662B">
        <w:rPr>
          <w:rFonts w:ascii="Arial" w:hAnsi="Arial"/>
        </w:rPr>
        <w:t xml:space="preserve">for </w:t>
      </w:r>
      <w:r w:rsidR="001C5BB6">
        <w:rPr>
          <w:rFonts w:ascii="Arial" w:hAnsi="Arial"/>
        </w:rPr>
        <w:t xml:space="preserve">a few </w:t>
      </w:r>
      <w:r w:rsidR="005B662B">
        <w:rPr>
          <w:rFonts w:ascii="Arial" w:hAnsi="Arial"/>
        </w:rPr>
        <w:t xml:space="preserve">neighbour cells, i.e., at most </w:t>
      </w:r>
      <w:r w:rsidR="001F0231">
        <w:rPr>
          <w:rFonts w:ascii="Arial" w:hAnsi="Arial"/>
        </w:rPr>
        <w:t>3</w:t>
      </w:r>
      <w:r w:rsidR="005B662B">
        <w:rPr>
          <w:rFonts w:ascii="Arial" w:hAnsi="Arial"/>
        </w:rPr>
        <w:t xml:space="preserve"> for </w:t>
      </w:r>
      <w:r w:rsidR="001F0231">
        <w:rPr>
          <w:rFonts w:ascii="Arial" w:hAnsi="Arial"/>
        </w:rPr>
        <w:t>LTE-M</w:t>
      </w:r>
      <w:r w:rsidR="009663D8">
        <w:rPr>
          <w:rFonts w:ascii="Arial" w:hAnsi="Arial"/>
        </w:rPr>
        <w:t xml:space="preserve"> due to the limited TB size that can be supported in the </w:t>
      </w:r>
      <w:r w:rsidR="00F76CC8">
        <w:rPr>
          <w:rFonts w:ascii="Arial" w:hAnsi="Arial"/>
        </w:rPr>
        <w:t>DL</w:t>
      </w:r>
      <w:r w:rsidR="001F0231">
        <w:rPr>
          <w:rFonts w:ascii="Arial" w:hAnsi="Arial"/>
        </w:rPr>
        <w:t>.</w:t>
      </w:r>
    </w:p>
    <w:p w14:paraId="1BA0B86D" w14:textId="77777777" w:rsidR="002A252D" w:rsidRDefault="002A252D" w:rsidP="002A252D">
      <w:pPr>
        <w:jc w:val="both"/>
        <w:rPr>
          <w:rFonts w:cs="Arial"/>
        </w:rPr>
      </w:pPr>
    </w:p>
    <w:p w14:paraId="7FCFDB73" w14:textId="7CEFB475" w:rsidR="002A252D" w:rsidRDefault="003F6B1A" w:rsidP="002A252D">
      <w:pPr>
        <w:pStyle w:val="Observation"/>
      </w:pPr>
      <w:bookmarkStart w:id="2" w:name="_Toc131710057"/>
      <w:r>
        <w:t>For IoT NTN, s</w:t>
      </w:r>
      <w:r w:rsidR="002A252D" w:rsidRPr="00FF3A4E">
        <w:t xml:space="preserve">atellite assistance information of neighbour cells </w:t>
      </w:r>
      <w:r>
        <w:t xml:space="preserve">is not provided </w:t>
      </w:r>
      <w:r w:rsidR="002A252D" w:rsidRPr="00FF3A4E">
        <w:t>in system information in Rel-17</w:t>
      </w:r>
      <w:r w:rsidR="002A252D">
        <w:t>.</w:t>
      </w:r>
      <w:bookmarkEnd w:id="2"/>
    </w:p>
    <w:p w14:paraId="20319B4D" w14:textId="77777777" w:rsidR="007B17D9" w:rsidRDefault="007B17D9" w:rsidP="007B17D9">
      <w:pPr>
        <w:jc w:val="both"/>
        <w:rPr>
          <w:rFonts w:cs="Arial"/>
        </w:rPr>
      </w:pPr>
    </w:p>
    <w:p w14:paraId="2A1FACAB" w14:textId="07EBDB34" w:rsidR="007B17D9" w:rsidRDefault="007B17D9" w:rsidP="007B17D9">
      <w:pPr>
        <w:pStyle w:val="Observation"/>
      </w:pPr>
      <w:bookmarkStart w:id="3" w:name="_Toc131710058"/>
      <w:r>
        <w:lastRenderedPageBreak/>
        <w:t>Even though s</w:t>
      </w:r>
      <w:r w:rsidRPr="00FF3A4E">
        <w:t xml:space="preserve">atellite assistance information of neighbour cells </w:t>
      </w:r>
      <w:r>
        <w:t xml:space="preserve">is </w:t>
      </w:r>
      <w:r w:rsidR="004D3833">
        <w:t xml:space="preserve">to be supported for IoT NTN in Rel-18, </w:t>
      </w:r>
      <w:r w:rsidR="00E86160">
        <w:t xml:space="preserve">the information can be provided </w:t>
      </w:r>
      <w:r w:rsidR="00D47A34">
        <w:t xml:space="preserve">only for a </w:t>
      </w:r>
      <w:r w:rsidR="00652595">
        <w:t>limited number of</w:t>
      </w:r>
      <w:r w:rsidR="00D47A34">
        <w:t xml:space="preserve"> cells, i.e., at most 3, due to TB size </w:t>
      </w:r>
      <w:r w:rsidR="008666CA">
        <w:t>limitation.</w:t>
      </w:r>
      <w:bookmarkEnd w:id="3"/>
    </w:p>
    <w:p w14:paraId="1C2FF1D7" w14:textId="77777777" w:rsidR="007B17D9" w:rsidRDefault="007B17D9" w:rsidP="007B17D9">
      <w:pPr>
        <w:jc w:val="both"/>
        <w:rPr>
          <w:rFonts w:cs="Arial"/>
        </w:rPr>
      </w:pPr>
    </w:p>
    <w:p w14:paraId="58785467" w14:textId="77777777" w:rsidR="005253EF" w:rsidRDefault="00625191" w:rsidP="002F7DD2">
      <w:pPr>
        <w:jc w:val="both"/>
        <w:rPr>
          <w:rFonts w:ascii="Arial" w:hAnsi="Arial" w:cs="Arial"/>
        </w:rPr>
      </w:pPr>
      <w:r w:rsidRPr="00625191">
        <w:rPr>
          <w:rFonts w:ascii="Arial" w:hAnsi="Arial" w:cs="Arial"/>
        </w:rPr>
        <w:t xml:space="preserve">One can observe that </w:t>
      </w:r>
      <w:r>
        <w:rPr>
          <w:rFonts w:ascii="Arial" w:hAnsi="Arial" w:cs="Arial"/>
        </w:rPr>
        <w:t xml:space="preserve">in a TN cell </w:t>
      </w:r>
      <w:r w:rsidRPr="00625191">
        <w:rPr>
          <w:rFonts w:ascii="Arial" w:hAnsi="Arial" w:cs="Arial"/>
        </w:rPr>
        <w:t>as the UE moves towards the cell border, there is a clear difference in RSRP compared to the cell centre.</w:t>
      </w:r>
      <w:r w:rsidR="002F7DD2">
        <w:rPr>
          <w:rFonts w:ascii="Arial" w:hAnsi="Arial" w:cs="Arial"/>
        </w:rPr>
        <w:t xml:space="preserve"> However, </w:t>
      </w:r>
      <w:r w:rsidRPr="00625191">
        <w:rPr>
          <w:rFonts w:ascii="Arial" w:hAnsi="Arial" w:cs="Arial"/>
        </w:rPr>
        <w:t xml:space="preserve">such observation does not seem to be valid in NTN cells </w:t>
      </w:r>
      <w:r w:rsidRPr="00625191">
        <w:rPr>
          <w:rFonts w:ascii="Arial" w:hAnsi="Arial" w:cs="Arial"/>
          <w:lang w:val="en-US"/>
        </w:rPr>
        <w:t>[4]</w:t>
      </w:r>
      <w:r w:rsidRPr="00625191">
        <w:rPr>
          <w:rFonts w:ascii="Arial" w:hAnsi="Arial" w:cs="Arial"/>
        </w:rPr>
        <w:t>, where the difference in signal strength is small between two beams in a region where there is overlap.</w:t>
      </w:r>
    </w:p>
    <w:p w14:paraId="599DD995" w14:textId="77777777" w:rsidR="005253EF" w:rsidRDefault="005253EF" w:rsidP="005253EF">
      <w:pPr>
        <w:jc w:val="both"/>
        <w:rPr>
          <w:rFonts w:cs="Arial"/>
        </w:rPr>
      </w:pPr>
    </w:p>
    <w:p w14:paraId="17B11E18" w14:textId="77777777" w:rsidR="005253EF" w:rsidRDefault="005253EF" w:rsidP="005253EF">
      <w:pPr>
        <w:pStyle w:val="Observation"/>
      </w:pPr>
      <w:bookmarkStart w:id="4" w:name="_Toc131710059"/>
      <w:r>
        <w:t xml:space="preserve">In NTN, </w:t>
      </w:r>
      <w:r>
        <w:rPr>
          <w:rFonts w:cs="Arial"/>
        </w:rPr>
        <w:t>difference in signal strength is small</w:t>
      </w:r>
      <w:r>
        <w:t xml:space="preserve"> between the cell edge and the cell centre.</w:t>
      </w:r>
      <w:bookmarkEnd w:id="4"/>
    </w:p>
    <w:p w14:paraId="0D68B5B2" w14:textId="77777777" w:rsidR="005253EF" w:rsidRDefault="005253EF" w:rsidP="002F7DD2">
      <w:pPr>
        <w:jc w:val="both"/>
        <w:rPr>
          <w:rFonts w:ascii="Arial" w:hAnsi="Arial" w:cs="Arial"/>
        </w:rPr>
      </w:pPr>
    </w:p>
    <w:p w14:paraId="023BF47E" w14:textId="6D8B2072" w:rsidR="00625191" w:rsidRPr="00625191" w:rsidRDefault="00625191" w:rsidP="002F7DD2">
      <w:pPr>
        <w:jc w:val="both"/>
        <w:rPr>
          <w:rFonts w:ascii="Arial" w:hAnsi="Arial" w:cs="Arial"/>
        </w:rPr>
      </w:pPr>
      <w:r w:rsidRPr="00625191">
        <w:rPr>
          <w:rFonts w:ascii="Arial" w:hAnsi="Arial" w:cs="Arial"/>
        </w:rPr>
        <w:t xml:space="preserve">Smaller margins would impose tighter </w:t>
      </w:r>
      <w:r w:rsidR="00876511">
        <w:rPr>
          <w:rFonts w:ascii="Arial" w:hAnsi="Arial" w:cs="Arial"/>
        </w:rPr>
        <w:t xml:space="preserve">measurement </w:t>
      </w:r>
      <w:r w:rsidRPr="00625191">
        <w:rPr>
          <w:rFonts w:ascii="Arial" w:hAnsi="Arial" w:cs="Arial"/>
        </w:rPr>
        <w:t>thresholds that could lead to triggering neighbour cell measurements unnecessarily</w:t>
      </w:r>
      <w:r w:rsidR="002F7DD2">
        <w:rPr>
          <w:rFonts w:ascii="Arial" w:hAnsi="Arial" w:cs="Arial"/>
        </w:rPr>
        <w:t xml:space="preserve"> or </w:t>
      </w:r>
      <w:r w:rsidR="005B62A9">
        <w:rPr>
          <w:rFonts w:ascii="Arial" w:hAnsi="Arial" w:cs="Arial"/>
        </w:rPr>
        <w:t>require frequent configuration updates</w:t>
      </w:r>
      <w:r w:rsidR="004C7469">
        <w:rPr>
          <w:rFonts w:ascii="Arial" w:hAnsi="Arial" w:cs="Arial"/>
        </w:rPr>
        <w:t xml:space="preserve"> via RRC signalling.</w:t>
      </w:r>
    </w:p>
    <w:p w14:paraId="421462D1" w14:textId="302BC618" w:rsidR="00D80E0C" w:rsidRPr="009859A4" w:rsidRDefault="009B6772" w:rsidP="00D80E0C">
      <w:pPr>
        <w:jc w:val="both"/>
        <w:rPr>
          <w:rFonts w:ascii="Arial" w:hAnsi="Arial" w:cs="Arial"/>
        </w:rPr>
      </w:pPr>
      <w:r>
        <w:rPr>
          <w:rFonts w:ascii="Arial" w:hAnsi="Arial" w:cs="Arial"/>
        </w:rPr>
        <w:t xml:space="preserve">This is yet another reason why this enhancement on RLF/RRC re-establishment mechanism is important for LTE-M devices as much as it does for NB-IoT devices. </w:t>
      </w:r>
      <w:r w:rsidR="009D5F87">
        <w:rPr>
          <w:rFonts w:ascii="Arial" w:hAnsi="Arial" w:cs="Arial"/>
        </w:rPr>
        <w:t>Therefore</w:t>
      </w:r>
      <w:r w:rsidR="00806BE2">
        <w:rPr>
          <w:rFonts w:ascii="Arial" w:hAnsi="Arial" w:cs="Arial"/>
        </w:rPr>
        <w:t>,</w:t>
      </w:r>
      <w:r w:rsidR="009D5F87">
        <w:rPr>
          <w:rFonts w:ascii="Arial" w:hAnsi="Arial" w:cs="Arial"/>
        </w:rPr>
        <w:t xml:space="preserve"> we propose:</w:t>
      </w:r>
    </w:p>
    <w:p w14:paraId="2EBB7E65" w14:textId="77777777" w:rsidR="009D5F87" w:rsidRDefault="009D5F87" w:rsidP="009D5F87">
      <w:pPr>
        <w:jc w:val="both"/>
        <w:rPr>
          <w:rFonts w:cs="Arial"/>
        </w:rPr>
      </w:pPr>
    </w:p>
    <w:p w14:paraId="69ECA396" w14:textId="45146B4B" w:rsidR="009D5F87" w:rsidRDefault="009D5F87" w:rsidP="009D5F87">
      <w:pPr>
        <w:pStyle w:val="Proposal"/>
      </w:pPr>
      <w:bookmarkStart w:id="5" w:name="_Toc131710060"/>
      <w:r>
        <w:t xml:space="preserve">Introduce </w:t>
      </w:r>
      <w:r w:rsidR="00763EED">
        <w:t xml:space="preserve">a </w:t>
      </w:r>
      <w:r w:rsidR="00F61148">
        <w:t xml:space="preserve">mechanism to </w:t>
      </w:r>
      <w:r w:rsidR="00763EED">
        <w:t>trigger</w:t>
      </w:r>
      <w:r>
        <w:t xml:space="preserve"> neighbour cell measurements in connected mode for LTE-M in NTN.</w:t>
      </w:r>
      <w:bookmarkEnd w:id="5"/>
    </w:p>
    <w:p w14:paraId="364C997E" w14:textId="77777777" w:rsidR="009D5F87" w:rsidRDefault="009D5F87" w:rsidP="009D5F87">
      <w:pPr>
        <w:pStyle w:val="Proposal"/>
        <w:numPr>
          <w:ilvl w:val="0"/>
          <w:numId w:val="0"/>
        </w:numPr>
        <w:ind w:left="1701" w:hanging="1701"/>
      </w:pPr>
    </w:p>
    <w:p w14:paraId="3EB668DD" w14:textId="55BE5C68" w:rsidR="00801444" w:rsidRDefault="00801444" w:rsidP="00801444">
      <w:pPr>
        <w:pStyle w:val="Heading3"/>
      </w:pPr>
      <w:r>
        <w:t>2.1.2</w:t>
      </w:r>
      <w:r>
        <w:tab/>
      </w:r>
      <w:r w:rsidR="00AC761C">
        <w:t xml:space="preserve">Triggering </w:t>
      </w:r>
      <w:r w:rsidR="00F36B20">
        <w:t xml:space="preserve">criteria for </w:t>
      </w:r>
      <w:r w:rsidR="00AC761C">
        <w:t xml:space="preserve">neighbour cell measurements </w:t>
      </w:r>
      <w:r w:rsidR="00C65947">
        <w:t xml:space="preserve">in </w:t>
      </w:r>
      <w:r>
        <w:t>NTN</w:t>
      </w:r>
    </w:p>
    <w:p w14:paraId="659D16B8" w14:textId="14C3F615" w:rsidR="00CB4617" w:rsidRDefault="004F7334" w:rsidP="004F7334">
      <w:pPr>
        <w:jc w:val="both"/>
        <w:rPr>
          <w:rFonts w:ascii="Arial" w:hAnsi="Arial" w:cs="Arial"/>
        </w:rPr>
      </w:pPr>
      <w:r>
        <w:rPr>
          <w:rFonts w:ascii="Arial" w:hAnsi="Arial" w:cs="Arial"/>
        </w:rPr>
        <w:t>In RAN2#1</w:t>
      </w:r>
      <w:r w:rsidR="005952EB">
        <w:rPr>
          <w:rFonts w:ascii="Arial" w:hAnsi="Arial" w:cs="Arial"/>
        </w:rPr>
        <w:t>20</w:t>
      </w:r>
      <w:r>
        <w:rPr>
          <w:rFonts w:ascii="Arial" w:hAnsi="Arial" w:cs="Arial"/>
        </w:rPr>
        <w:t xml:space="preserve">, </w:t>
      </w:r>
      <w:r w:rsidRPr="004F7334">
        <w:rPr>
          <w:rFonts w:ascii="Arial" w:hAnsi="Arial" w:cs="Arial"/>
        </w:rPr>
        <w:t xml:space="preserve">RAN2 </w:t>
      </w:r>
      <w:r w:rsidR="00CB4617">
        <w:rPr>
          <w:rFonts w:ascii="Arial" w:hAnsi="Arial" w:cs="Arial"/>
        </w:rPr>
        <w:t xml:space="preserve">made the following </w:t>
      </w:r>
      <w:r>
        <w:rPr>
          <w:rFonts w:ascii="Arial" w:hAnsi="Arial" w:cs="Arial"/>
        </w:rPr>
        <w:t>agree</w:t>
      </w:r>
      <w:r w:rsidR="00CB4617">
        <w:rPr>
          <w:rFonts w:ascii="Arial" w:hAnsi="Arial" w:cs="Arial"/>
        </w:rPr>
        <w:t>ments</w:t>
      </w:r>
      <w:r w:rsidR="00B259AD">
        <w:rPr>
          <w:rFonts w:ascii="Arial" w:hAnsi="Arial" w:cs="Arial"/>
        </w:rPr>
        <w:t xml:space="preserve"> for NB-IoT devices in NTN</w:t>
      </w:r>
      <w:r w:rsidR="00CB4617">
        <w:rPr>
          <w:rFonts w:ascii="Arial" w:hAnsi="Arial" w:cs="Arial"/>
        </w:rPr>
        <w:t>:</w:t>
      </w:r>
    </w:p>
    <w:p w14:paraId="4614BB3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For NB-IoT we support a trigger for neighbour cell measurements based on T-service (in the quasi-Earth fixed case) (this does not preclude anything for eMTC discussion)</w:t>
      </w:r>
    </w:p>
    <w:p w14:paraId="245F324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318ACF3"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RAN2 will not specify the condition of stopping UE measurement before t-Service</w:t>
      </w:r>
    </w:p>
    <w:p w14:paraId="14AFDA58" w14:textId="44436CC4" w:rsidR="00B259AD" w:rsidRDefault="00B259AD" w:rsidP="00B259AD">
      <w:pPr>
        <w:numPr>
          <w:ilvl w:val="0"/>
          <w:numId w:val="33"/>
        </w:numPr>
        <w:jc w:val="both"/>
        <w:rPr>
          <w:rFonts w:ascii="Arial" w:hAnsi="Arial" w:cs="Arial"/>
          <w:lang w:val="en-US"/>
        </w:rPr>
      </w:pPr>
      <w:r w:rsidRPr="00B259AD">
        <w:rPr>
          <w:rFonts w:ascii="Arial" w:hAnsi="Arial" w:cs="Arial"/>
          <w:lang w:val="en-US"/>
        </w:rPr>
        <w:t>For earth-moving cell, the UE derives when loss of coverage of current cell happens (how to derive this information is FFS)</w:t>
      </w:r>
    </w:p>
    <w:p w14:paraId="69B07830" w14:textId="48A64555" w:rsidR="0091451A" w:rsidRPr="00B259AD" w:rsidRDefault="0091451A" w:rsidP="00B259AD">
      <w:pPr>
        <w:numPr>
          <w:ilvl w:val="0"/>
          <w:numId w:val="33"/>
        </w:numPr>
        <w:jc w:val="both"/>
        <w:rPr>
          <w:rFonts w:ascii="Arial" w:hAnsi="Arial" w:cs="Arial"/>
          <w:lang w:val="en-US"/>
        </w:rPr>
      </w:pPr>
      <w:r w:rsidRPr="00B259AD">
        <w:rPr>
          <w:rFonts w:ascii="Arial" w:hAnsi="Arial" w:cs="Arial"/>
          <w:lang w:val="en-US"/>
        </w:rPr>
        <w:t>For earth-moving cell, UE shall start intra/inter frequency measurements in RRC connected mode before losing coverage. The exact time to start measurements can be left to UE implementation¨</w:t>
      </w:r>
    </w:p>
    <w:p w14:paraId="04ED5E43" w14:textId="77777777" w:rsidR="0091451A" w:rsidRDefault="0091451A" w:rsidP="00B259AD">
      <w:pPr>
        <w:jc w:val="both"/>
        <w:rPr>
          <w:rFonts w:ascii="Arial" w:hAnsi="Arial" w:cs="Arial"/>
          <w:lang w:val="en-US"/>
        </w:rPr>
      </w:pPr>
    </w:p>
    <w:p w14:paraId="38C1CCF5" w14:textId="47BC281F" w:rsidR="004F7334" w:rsidRPr="004F7334" w:rsidRDefault="001E291D" w:rsidP="004F7334">
      <w:pPr>
        <w:jc w:val="both"/>
        <w:rPr>
          <w:rFonts w:ascii="Arial" w:hAnsi="Arial" w:cs="Arial"/>
        </w:rPr>
      </w:pPr>
      <w:r>
        <w:rPr>
          <w:rFonts w:ascii="Arial" w:hAnsi="Arial" w:cs="Arial"/>
        </w:rPr>
        <w:t>Considering the benefits of time and location</w:t>
      </w:r>
      <w:r w:rsidR="002F4C1B">
        <w:rPr>
          <w:rFonts w:ascii="Arial" w:hAnsi="Arial" w:cs="Arial"/>
        </w:rPr>
        <w:t>-</w:t>
      </w:r>
      <w:r>
        <w:rPr>
          <w:rFonts w:ascii="Arial" w:hAnsi="Arial" w:cs="Arial"/>
        </w:rPr>
        <w:t xml:space="preserve">based criteria </w:t>
      </w:r>
      <w:r w:rsidR="005A3FB8">
        <w:rPr>
          <w:rFonts w:ascii="Arial" w:hAnsi="Arial" w:cs="Arial"/>
        </w:rPr>
        <w:t>discussed so far</w:t>
      </w:r>
      <w:r w:rsidR="00084152">
        <w:rPr>
          <w:rFonts w:ascii="Arial" w:hAnsi="Arial" w:cs="Arial"/>
        </w:rPr>
        <w:t xml:space="preserve"> for the quasi-earth-fixed and </w:t>
      </w:r>
      <w:r w:rsidR="00BD4CE7">
        <w:rPr>
          <w:rFonts w:ascii="Arial" w:hAnsi="Arial" w:cs="Arial"/>
        </w:rPr>
        <w:t>earth-</w:t>
      </w:r>
      <w:r w:rsidR="00084152">
        <w:rPr>
          <w:rFonts w:ascii="Arial" w:hAnsi="Arial" w:cs="Arial"/>
        </w:rPr>
        <w:t>moving</w:t>
      </w:r>
      <w:r w:rsidR="00BD4CE7">
        <w:rPr>
          <w:rFonts w:ascii="Arial" w:hAnsi="Arial" w:cs="Arial"/>
        </w:rPr>
        <w:t xml:space="preserve"> cells, </w:t>
      </w:r>
      <w:r>
        <w:rPr>
          <w:rFonts w:ascii="Arial" w:hAnsi="Arial" w:cs="Arial"/>
        </w:rPr>
        <w:t>we propose the following:</w:t>
      </w:r>
    </w:p>
    <w:p w14:paraId="126008A0" w14:textId="77777777" w:rsidR="00B14897" w:rsidRDefault="00B14897" w:rsidP="00B14897">
      <w:pPr>
        <w:jc w:val="both"/>
        <w:rPr>
          <w:rFonts w:cs="Arial"/>
        </w:rPr>
      </w:pPr>
    </w:p>
    <w:p w14:paraId="7271FEBE" w14:textId="748F9202" w:rsidR="008B79A8" w:rsidRPr="008B79A8" w:rsidRDefault="00B14897" w:rsidP="004F7334">
      <w:pPr>
        <w:pStyle w:val="Proposal"/>
      </w:pPr>
      <w:bookmarkStart w:id="6" w:name="_Toc131710061"/>
      <w:r>
        <w:t xml:space="preserve">Introduce time-based </w:t>
      </w:r>
      <w:r w:rsidR="00CD1BF8">
        <w:t>criteria</w:t>
      </w:r>
      <w:r w:rsidR="00586EC2">
        <w:t xml:space="preserve">, based on </w:t>
      </w:r>
      <w:r w:rsidR="008B79A8">
        <w:t>T-service,</w:t>
      </w:r>
      <w:r w:rsidR="00CD1BF8">
        <w:t xml:space="preserve"> to </w:t>
      </w:r>
      <w:r>
        <w:t>trigger neighbour cell measurements in connected mode for LTE-M in NTN.</w:t>
      </w:r>
      <w:bookmarkEnd w:id="6"/>
    </w:p>
    <w:p w14:paraId="225706DE" w14:textId="77777777" w:rsidR="008B79A8" w:rsidRDefault="008B79A8" w:rsidP="008B79A8">
      <w:pPr>
        <w:jc w:val="both"/>
        <w:rPr>
          <w:rFonts w:cs="Arial"/>
        </w:rPr>
      </w:pPr>
    </w:p>
    <w:p w14:paraId="7FAF2AEB" w14:textId="26EC760F" w:rsidR="008B79A8" w:rsidRDefault="004801D2" w:rsidP="008B79A8">
      <w:pPr>
        <w:pStyle w:val="Proposal"/>
      </w:pPr>
      <w:bookmarkStart w:id="7" w:name="_Toc131710062"/>
      <w:r>
        <w:t>F</w:t>
      </w:r>
      <w:r w:rsidR="00CA0C43" w:rsidRPr="00B259AD">
        <w:rPr>
          <w:rFonts w:cs="Arial"/>
          <w:lang w:val="en-US"/>
        </w:rPr>
        <w:t xml:space="preserve">or </w:t>
      </w:r>
      <w:r w:rsidR="00252289">
        <w:rPr>
          <w:rFonts w:cs="Arial"/>
          <w:lang w:val="en-US"/>
        </w:rPr>
        <w:t xml:space="preserve">LTE-M in NTN, for </w:t>
      </w:r>
      <w:r w:rsidR="00CA0C43" w:rsidRPr="00B259AD">
        <w:rPr>
          <w:rFonts w:cs="Arial"/>
          <w:lang w:val="en-US"/>
        </w:rPr>
        <w:t xml:space="preserve">quasi-earth fixed cells, UE shall start intra/inter frequency measurement in connected mode before </w:t>
      </w:r>
      <w:r>
        <w:rPr>
          <w:rFonts w:cs="Arial"/>
          <w:lang w:val="en-US"/>
        </w:rPr>
        <w:t>T</w:t>
      </w:r>
      <w:r w:rsidR="00CA0C43" w:rsidRPr="00B259AD">
        <w:rPr>
          <w:rFonts w:cs="Arial"/>
          <w:lang w:val="en-US"/>
        </w:rPr>
        <w:t>-</w:t>
      </w:r>
      <w:r w:rsidR="006C101F">
        <w:rPr>
          <w:rFonts w:cs="Arial"/>
          <w:lang w:val="en-US"/>
        </w:rPr>
        <w:t>s</w:t>
      </w:r>
      <w:r w:rsidR="00CA0C43" w:rsidRPr="00B259AD">
        <w:rPr>
          <w:rFonts w:cs="Arial"/>
          <w:lang w:val="en-US"/>
        </w:rPr>
        <w:t>ervice</w:t>
      </w:r>
      <w:r w:rsidR="006C101F">
        <w:rPr>
          <w:rFonts w:cs="Arial"/>
          <w:lang w:val="en-US"/>
        </w:rPr>
        <w:t>,</w:t>
      </w:r>
      <w:r w:rsidR="00CA0C43" w:rsidRPr="00B259AD">
        <w:rPr>
          <w:rFonts w:cs="Arial"/>
          <w:lang w:val="en-US"/>
        </w:rPr>
        <w:t xml:space="preserve"> if present. The exact time to start measurements in connected mode before </w:t>
      </w:r>
      <w:r w:rsidR="006C101F">
        <w:rPr>
          <w:rFonts w:cs="Arial"/>
          <w:lang w:val="en-US"/>
        </w:rPr>
        <w:t>T</w:t>
      </w:r>
      <w:r w:rsidR="00BE3FF5">
        <w:rPr>
          <w:rFonts w:cs="Arial"/>
          <w:lang w:val="en-US"/>
        </w:rPr>
        <w:t>-</w:t>
      </w:r>
      <w:r w:rsidR="006C101F">
        <w:rPr>
          <w:rFonts w:cs="Arial"/>
          <w:lang w:val="en-US"/>
        </w:rPr>
        <w:t>s</w:t>
      </w:r>
      <w:r w:rsidR="00CA0C43" w:rsidRPr="00B259AD">
        <w:rPr>
          <w:rFonts w:cs="Arial"/>
          <w:lang w:val="en-US"/>
        </w:rPr>
        <w:t xml:space="preserve">ervice </w:t>
      </w:r>
      <w:r w:rsidR="00BE3FF5">
        <w:rPr>
          <w:rFonts w:cs="Arial"/>
          <w:lang w:val="en-US"/>
        </w:rPr>
        <w:t>is</w:t>
      </w:r>
      <w:r w:rsidR="00CA0C43" w:rsidRPr="00B259AD">
        <w:rPr>
          <w:rFonts w:cs="Arial"/>
          <w:lang w:val="en-US"/>
        </w:rPr>
        <w:t xml:space="preserve"> left to UE implementation</w:t>
      </w:r>
      <w:r w:rsidR="00BE3FF5">
        <w:rPr>
          <w:rFonts w:cs="Arial"/>
          <w:lang w:val="en-US"/>
        </w:rPr>
        <w:t>.</w:t>
      </w:r>
      <w:r w:rsidR="00716DED">
        <w:rPr>
          <w:rFonts w:cs="Arial"/>
          <w:lang w:val="en-US"/>
        </w:rPr>
        <w:t xml:space="preserve"> FFS for earth-moving cells.</w:t>
      </w:r>
      <w:bookmarkEnd w:id="7"/>
    </w:p>
    <w:p w14:paraId="7E0E6304" w14:textId="77777777" w:rsidR="008B79A8" w:rsidRDefault="008B79A8" w:rsidP="008B79A8">
      <w:pPr>
        <w:pStyle w:val="Proposal"/>
        <w:numPr>
          <w:ilvl w:val="0"/>
          <w:numId w:val="0"/>
        </w:numPr>
        <w:ind w:left="1701" w:hanging="1701"/>
      </w:pPr>
    </w:p>
    <w:p w14:paraId="13E5C75E" w14:textId="77777777" w:rsidR="00801444" w:rsidRDefault="00801444" w:rsidP="00801444">
      <w:pPr>
        <w:pStyle w:val="Heading1"/>
      </w:pPr>
      <w:r>
        <w:t>3</w:t>
      </w:r>
      <w:r>
        <w:tab/>
        <w:t>Conclusions</w:t>
      </w:r>
    </w:p>
    <w:p w14:paraId="711E209C" w14:textId="6CF96B7E" w:rsidR="00801444" w:rsidRPr="001F4CB5" w:rsidRDefault="00F77A80" w:rsidP="0001642C">
      <w:pPr>
        <w:jc w:val="both"/>
        <w:rPr>
          <w:rFonts w:ascii="Arial" w:hAnsi="Arial" w:cs="Arial"/>
          <w:b/>
          <w:bCs/>
        </w:rPr>
      </w:pPr>
      <w:r w:rsidRPr="00646224">
        <w:rPr>
          <w:rFonts w:ascii="Arial" w:hAnsi="Arial" w:cs="Arial"/>
        </w:rPr>
        <w:t xml:space="preserve">In this paper we </w:t>
      </w:r>
      <w:r>
        <w:rPr>
          <w:rFonts w:ascii="Arial" w:hAnsi="Arial" w:cs="Arial"/>
        </w:rPr>
        <w:t xml:space="preserve">discussed how neighbour cell measurements can be triggered before RLF so that time to </w:t>
      </w:r>
      <w:r w:rsidRPr="00FF1BAF">
        <w:rPr>
          <w:rFonts w:ascii="Arial" w:hAnsi="Arial" w:cs="Arial"/>
        </w:rPr>
        <w:t xml:space="preserve">re-establish connection </w:t>
      </w:r>
      <w:r>
        <w:rPr>
          <w:rFonts w:ascii="Arial" w:hAnsi="Arial" w:cs="Arial"/>
        </w:rPr>
        <w:t>can be shortened for NB-IoT and LTE-M devices in NTN</w:t>
      </w:r>
      <w:r w:rsidRPr="00646224">
        <w:rPr>
          <w:rFonts w:ascii="Arial" w:hAnsi="Arial" w:cs="Arial"/>
        </w:rPr>
        <w:t>.</w:t>
      </w:r>
      <w:r>
        <w:rPr>
          <w:rFonts w:ascii="Arial" w:hAnsi="Arial" w:cs="Arial"/>
        </w:rPr>
        <w:t xml:space="preserve"> W</w:t>
      </w:r>
      <w:r w:rsidR="00801444" w:rsidRPr="001F4CB5">
        <w:rPr>
          <w:rFonts w:ascii="Arial" w:hAnsi="Arial" w:cs="Arial"/>
        </w:rPr>
        <w:t>e made the following observations:</w:t>
      </w:r>
      <w:r w:rsidR="00801444" w:rsidRPr="001F4CB5">
        <w:rPr>
          <w:rFonts w:ascii="Arial" w:hAnsi="Arial" w:cs="Arial"/>
          <w:b/>
          <w:bCs/>
        </w:rPr>
        <w:t xml:space="preserve"> </w:t>
      </w:r>
    </w:p>
    <w:p w14:paraId="0C319775" w14:textId="0A1ACDAA" w:rsidR="0001642C" w:rsidRDefault="00801444"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10056" w:history="1">
        <w:r w:rsidR="0001642C" w:rsidRPr="00CB6BDE">
          <w:rPr>
            <w:rStyle w:val="Hyperlink"/>
            <w:noProof/>
          </w:rPr>
          <w:t>Observation 1</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A UE may not perform measurements for an NTN neighbour cell if satellite assistance information for the cell is not provided in SIB19.</w:t>
        </w:r>
      </w:hyperlink>
    </w:p>
    <w:p w14:paraId="658C1AB9" w14:textId="4DFA9DFC" w:rsidR="0001642C" w:rsidRDefault="008C5B9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7" w:history="1">
        <w:r w:rsidR="0001642C" w:rsidRPr="00CB6BDE">
          <w:rPr>
            <w:rStyle w:val="Hyperlink"/>
            <w:noProof/>
          </w:rPr>
          <w:t>Observation 2</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For IoT NTN, satellite assistance information of neighbour cells is not provided in system information in Rel-17.</w:t>
        </w:r>
      </w:hyperlink>
    </w:p>
    <w:p w14:paraId="4AEA2664" w14:textId="64E219F6" w:rsidR="0001642C" w:rsidRDefault="008C5B9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8" w:history="1">
        <w:r w:rsidR="0001642C" w:rsidRPr="00CB6BDE">
          <w:rPr>
            <w:rStyle w:val="Hyperlink"/>
            <w:noProof/>
          </w:rPr>
          <w:t>Observation 3</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Even though satellite assistance information of neighbour cells is to be supported for IoT NTN in Rel-18, the information can be provided only for a limited number of cells, i.e., at most 3, due to TB size limitation.</w:t>
        </w:r>
      </w:hyperlink>
    </w:p>
    <w:p w14:paraId="13CF957C" w14:textId="2648DEED" w:rsidR="0001642C" w:rsidRDefault="008C5B9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9" w:history="1">
        <w:r w:rsidR="0001642C" w:rsidRPr="00CB6BDE">
          <w:rPr>
            <w:rStyle w:val="Hyperlink"/>
            <w:noProof/>
          </w:rPr>
          <w:t>Observation 4</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 xml:space="preserve">In NTN, </w:t>
        </w:r>
        <w:r w:rsidR="0001642C" w:rsidRPr="00CB6BDE">
          <w:rPr>
            <w:rStyle w:val="Hyperlink"/>
            <w:rFonts w:cs="Arial"/>
            <w:noProof/>
          </w:rPr>
          <w:t>difference in signal strength is small</w:t>
        </w:r>
        <w:r w:rsidR="0001642C" w:rsidRPr="00CB6BDE">
          <w:rPr>
            <w:rStyle w:val="Hyperlink"/>
            <w:noProof/>
          </w:rPr>
          <w:t xml:space="preserve"> between the cell edge and the cell centre.</w:t>
        </w:r>
      </w:hyperlink>
    </w:p>
    <w:p w14:paraId="189CFE92" w14:textId="1DA670A5" w:rsidR="00801444" w:rsidRDefault="00801444" w:rsidP="0001642C">
      <w:pPr>
        <w:jc w:val="both"/>
        <w:rPr>
          <w:b/>
          <w:bCs/>
        </w:rPr>
      </w:pPr>
      <w:r>
        <w:rPr>
          <w:b/>
          <w:bCs/>
        </w:rPr>
        <w:fldChar w:fldCharType="end"/>
      </w:r>
    </w:p>
    <w:p w14:paraId="59DED352" w14:textId="77777777" w:rsidR="00801444" w:rsidRPr="001F4CB5" w:rsidRDefault="00801444" w:rsidP="0001642C">
      <w:pPr>
        <w:jc w:val="both"/>
        <w:rPr>
          <w:rFonts w:ascii="Arial" w:hAnsi="Arial" w:cs="Arial"/>
        </w:rPr>
      </w:pPr>
      <w:r w:rsidRPr="001F4CB5">
        <w:rPr>
          <w:rFonts w:ascii="Arial" w:hAnsi="Arial" w:cs="Arial"/>
        </w:rPr>
        <w:t>Based on the discussion in the previous sections we propose the following:</w:t>
      </w:r>
    </w:p>
    <w:p w14:paraId="43E74FB3" w14:textId="160000AA" w:rsidR="0001642C" w:rsidRDefault="00801444"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10060" w:history="1">
        <w:r w:rsidR="0001642C" w:rsidRPr="00F03BF8">
          <w:rPr>
            <w:rStyle w:val="Hyperlink"/>
            <w:noProof/>
          </w:rPr>
          <w:t>Proposal 1</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Introduce a mechanism to trigger neighbour cell measurements in connected mode for LTE-M in NTN.</w:t>
        </w:r>
      </w:hyperlink>
    </w:p>
    <w:p w14:paraId="1BE957ED" w14:textId="68576BD4" w:rsidR="0001642C" w:rsidRDefault="008C5B9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61" w:history="1">
        <w:r w:rsidR="0001642C" w:rsidRPr="00F03BF8">
          <w:rPr>
            <w:rStyle w:val="Hyperlink"/>
            <w:noProof/>
          </w:rPr>
          <w:t>Proposal 2</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Introduce time-based criteria, based on T-service, to trigger neighbour cell measurements in connected mode for LTE-M in NTN.</w:t>
        </w:r>
      </w:hyperlink>
    </w:p>
    <w:p w14:paraId="61DEE707" w14:textId="69F6D87F" w:rsidR="0001642C" w:rsidRDefault="008C5B9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62" w:history="1">
        <w:r w:rsidR="0001642C" w:rsidRPr="00F03BF8">
          <w:rPr>
            <w:rStyle w:val="Hyperlink"/>
            <w:noProof/>
          </w:rPr>
          <w:t>Proposal 3</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F</w:t>
        </w:r>
        <w:r w:rsidR="0001642C" w:rsidRPr="00F03BF8">
          <w:rPr>
            <w:rStyle w:val="Hyperlink"/>
            <w:rFonts w:cs="Arial"/>
            <w:noProof/>
            <w:lang w:val="en-US"/>
          </w:rPr>
          <w:t>or LTE-M in NTN, for quasi-earth fixed cells, UE shall start intra/inter frequency measurement in connected mode before T-service, if present. The exact time to start measurements in connected mode before T-service is left to UE implementation. FFS for earth-moving cells.</w:t>
        </w:r>
      </w:hyperlink>
    </w:p>
    <w:p w14:paraId="1C841A31" w14:textId="3F51DFC5" w:rsidR="00801444" w:rsidRPr="00CE0424" w:rsidRDefault="00801444" w:rsidP="0001642C">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8" w:name="_In-sequence_SDU_delivery"/>
      <w:bookmarkEnd w:id="8"/>
      <w:r w:rsidRPr="00CE0424">
        <w:t>References</w:t>
      </w:r>
    </w:p>
    <w:p w14:paraId="3EC5FD9E" w14:textId="77777777" w:rsidR="00801444" w:rsidRPr="00B206C8" w:rsidRDefault="00801444" w:rsidP="00801444">
      <w:pPr>
        <w:pStyle w:val="Reference"/>
      </w:pPr>
      <w:bookmarkStart w:id="9" w:name="_Ref174151459"/>
      <w:bookmarkStart w:id="10"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4C9F64D9" w14:textId="77777777" w:rsidR="00801444" w:rsidRDefault="00801444" w:rsidP="00801444">
      <w:pPr>
        <w:pStyle w:val="Reference"/>
      </w:pPr>
      <w:r w:rsidRPr="007F4D7C">
        <w:t>RP-220529</w:t>
      </w:r>
      <w:r>
        <w:t xml:space="preserve">, </w:t>
      </w:r>
      <w:r w:rsidRPr="007F4D7C">
        <w:t>Additional enhancements for NB-IoT and LTE-MTC</w:t>
      </w:r>
      <w:r>
        <w:t xml:space="preserve">, Huawei, </w:t>
      </w:r>
      <w:proofErr w:type="spellStart"/>
      <w:r>
        <w:t>HiSilicon</w:t>
      </w:r>
      <w:proofErr w:type="spellEnd"/>
      <w:r>
        <w:t>, RAN</w:t>
      </w:r>
      <w:r>
        <w:rPr>
          <w:lang w:val="en-US"/>
        </w:rPr>
        <w:t>#95e, March 2022.</w:t>
      </w:r>
    </w:p>
    <w:p w14:paraId="19ECB97E" w14:textId="77777777"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p>
    <w:p w14:paraId="2994D664" w14:textId="77777777" w:rsidR="00801444" w:rsidRPr="00B206C8" w:rsidRDefault="00801444" w:rsidP="00801444">
      <w:pPr>
        <w:pStyle w:val="Reference"/>
      </w:pPr>
      <w:r w:rsidRPr="00B206C8">
        <w:t>TR 38.821, Solutions for NR to support non-terrestrial networks (NTN), V16.1.0, June 2021</w:t>
      </w:r>
      <w:r>
        <w:t>.</w:t>
      </w:r>
    </w:p>
    <w:bookmarkEnd w:id="9"/>
    <w:bookmarkEnd w:id="10"/>
    <w:p w14:paraId="4DF175F8" w14:textId="77777777" w:rsidR="00801444" w:rsidRPr="00CE0424" w:rsidRDefault="00801444" w:rsidP="00801444">
      <w:pPr>
        <w:pStyle w:val="BodyText"/>
      </w:pPr>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E65B" w14:textId="77777777" w:rsidR="00F51C6A" w:rsidRDefault="00F51C6A">
      <w:r>
        <w:separator/>
      </w:r>
    </w:p>
  </w:endnote>
  <w:endnote w:type="continuationSeparator" w:id="0">
    <w:p w14:paraId="1E380B4D" w14:textId="77777777" w:rsidR="00F51C6A" w:rsidRDefault="00F51C6A">
      <w:r>
        <w:continuationSeparator/>
      </w:r>
    </w:p>
  </w:endnote>
  <w:endnote w:type="continuationNotice" w:id="1">
    <w:p w14:paraId="5EBD2F8C" w14:textId="77777777" w:rsidR="00F51C6A" w:rsidRDefault="00F51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851C" w14:textId="77777777" w:rsidR="00F51C6A" w:rsidRDefault="00F51C6A">
      <w:r>
        <w:separator/>
      </w:r>
    </w:p>
  </w:footnote>
  <w:footnote w:type="continuationSeparator" w:id="0">
    <w:p w14:paraId="1CE546AB" w14:textId="77777777" w:rsidR="00F51C6A" w:rsidRDefault="00F51C6A">
      <w:r>
        <w:continuationSeparator/>
      </w:r>
    </w:p>
  </w:footnote>
  <w:footnote w:type="continuationNotice" w:id="1">
    <w:p w14:paraId="588F4B2F" w14:textId="77777777" w:rsidR="00F51C6A" w:rsidRDefault="00F51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16cid:durableId="1321696106">
    <w:abstractNumId w:val="3"/>
  </w:num>
  <w:num w:numId="2" w16cid:durableId="294216502">
    <w:abstractNumId w:val="20"/>
  </w:num>
  <w:num w:numId="3" w16cid:durableId="397169582">
    <w:abstractNumId w:val="16"/>
  </w:num>
  <w:num w:numId="4" w16cid:durableId="1439638656">
    <w:abstractNumId w:val="17"/>
  </w:num>
  <w:num w:numId="5" w16cid:durableId="130439608">
    <w:abstractNumId w:val="10"/>
  </w:num>
  <w:num w:numId="6" w16cid:durableId="1915891100">
    <w:abstractNumId w:val="19"/>
  </w:num>
  <w:num w:numId="7" w16cid:durableId="176043652">
    <w:abstractNumId w:val="26"/>
  </w:num>
  <w:num w:numId="8" w16cid:durableId="443161747">
    <w:abstractNumId w:val="11"/>
  </w:num>
  <w:num w:numId="9" w16cid:durableId="1010958912">
    <w:abstractNumId w:val="8"/>
  </w:num>
  <w:num w:numId="10" w16cid:durableId="895357535">
    <w:abstractNumId w:val="2"/>
  </w:num>
  <w:num w:numId="11" w16cid:durableId="2055812632">
    <w:abstractNumId w:val="1"/>
  </w:num>
  <w:num w:numId="12" w16cid:durableId="870460151">
    <w:abstractNumId w:val="0"/>
  </w:num>
  <w:num w:numId="13" w16cid:durableId="420951679">
    <w:abstractNumId w:val="21"/>
  </w:num>
  <w:num w:numId="14" w16cid:durableId="1721199872">
    <w:abstractNumId w:val="22"/>
  </w:num>
  <w:num w:numId="15" w16cid:durableId="1896506273">
    <w:abstractNumId w:val="18"/>
  </w:num>
  <w:num w:numId="16" w16cid:durableId="73362048">
    <w:abstractNumId w:val="27"/>
  </w:num>
  <w:num w:numId="17" w16cid:durableId="1577283250">
    <w:abstractNumId w:val="6"/>
  </w:num>
  <w:num w:numId="18" w16cid:durableId="270356571">
    <w:abstractNumId w:val="7"/>
  </w:num>
  <w:num w:numId="19" w16cid:durableId="968588242">
    <w:abstractNumId w:val="5"/>
  </w:num>
  <w:num w:numId="20" w16cid:durableId="1215117445">
    <w:abstractNumId w:val="31"/>
  </w:num>
  <w:num w:numId="21" w16cid:durableId="1565948532">
    <w:abstractNumId w:val="14"/>
  </w:num>
  <w:num w:numId="22" w16cid:durableId="792944898">
    <w:abstractNumId w:val="29"/>
  </w:num>
  <w:num w:numId="23" w16cid:durableId="1675523276">
    <w:abstractNumId w:val="15"/>
  </w:num>
  <w:num w:numId="24" w16cid:durableId="595788526">
    <w:abstractNumId w:val="13"/>
  </w:num>
  <w:num w:numId="25" w16cid:durableId="1845169718">
    <w:abstractNumId w:val="9"/>
  </w:num>
  <w:num w:numId="26" w16cid:durableId="1830097083">
    <w:abstractNumId w:val="25"/>
  </w:num>
  <w:num w:numId="27" w16cid:durableId="786659692">
    <w:abstractNumId w:val="30"/>
  </w:num>
  <w:num w:numId="28" w16cid:durableId="1649436684">
    <w:abstractNumId w:val="28"/>
  </w:num>
  <w:num w:numId="29" w16cid:durableId="257177201">
    <w:abstractNumId w:val="23"/>
  </w:num>
  <w:num w:numId="30" w16cid:durableId="464083082">
    <w:abstractNumId w:val="32"/>
  </w:num>
  <w:num w:numId="31" w16cid:durableId="1165705132">
    <w:abstractNumId w:val="12"/>
  </w:num>
  <w:num w:numId="32" w16cid:durableId="793719665">
    <w:abstractNumId w:val="4"/>
  </w:num>
  <w:num w:numId="33" w16cid:durableId="158152729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1642C"/>
    <w:rsid w:val="00020890"/>
    <w:rsid w:val="0002564D"/>
    <w:rsid w:val="00025ECA"/>
    <w:rsid w:val="00026203"/>
    <w:rsid w:val="000325B8"/>
    <w:rsid w:val="00034C15"/>
    <w:rsid w:val="00035A6D"/>
    <w:rsid w:val="00036BA1"/>
    <w:rsid w:val="00037481"/>
    <w:rsid w:val="00041DEE"/>
    <w:rsid w:val="000422AD"/>
    <w:rsid w:val="000422E2"/>
    <w:rsid w:val="00042F22"/>
    <w:rsid w:val="000444EF"/>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4324"/>
    <w:rsid w:val="000A56F2"/>
    <w:rsid w:val="000B033F"/>
    <w:rsid w:val="000B0BA4"/>
    <w:rsid w:val="000B16BC"/>
    <w:rsid w:val="000B2719"/>
    <w:rsid w:val="000B3A8F"/>
    <w:rsid w:val="000B42DC"/>
    <w:rsid w:val="000B4AB9"/>
    <w:rsid w:val="000B50D4"/>
    <w:rsid w:val="000B58C3"/>
    <w:rsid w:val="000B5E01"/>
    <w:rsid w:val="000B61E9"/>
    <w:rsid w:val="000B6F96"/>
    <w:rsid w:val="000C165A"/>
    <w:rsid w:val="000C2E19"/>
    <w:rsid w:val="000C3219"/>
    <w:rsid w:val="000C3FFD"/>
    <w:rsid w:val="000D0D07"/>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6019"/>
    <w:rsid w:val="000F6DF3"/>
    <w:rsid w:val="001005FF"/>
    <w:rsid w:val="00103144"/>
    <w:rsid w:val="00103B4A"/>
    <w:rsid w:val="001062FB"/>
    <w:rsid w:val="001063E6"/>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F57"/>
    <w:rsid w:val="001374DA"/>
    <w:rsid w:val="00137AB5"/>
    <w:rsid w:val="00137F0B"/>
    <w:rsid w:val="0014227D"/>
    <w:rsid w:val="001423DD"/>
    <w:rsid w:val="001478A7"/>
    <w:rsid w:val="0015001F"/>
    <w:rsid w:val="00150C53"/>
    <w:rsid w:val="00151E23"/>
    <w:rsid w:val="0015259F"/>
    <w:rsid w:val="001526E0"/>
    <w:rsid w:val="00153F1E"/>
    <w:rsid w:val="001551B5"/>
    <w:rsid w:val="00155D6E"/>
    <w:rsid w:val="0015648E"/>
    <w:rsid w:val="0015701A"/>
    <w:rsid w:val="00157234"/>
    <w:rsid w:val="00157824"/>
    <w:rsid w:val="00164448"/>
    <w:rsid w:val="001659C1"/>
    <w:rsid w:val="0016651F"/>
    <w:rsid w:val="001703A7"/>
    <w:rsid w:val="00170C8D"/>
    <w:rsid w:val="0017323E"/>
    <w:rsid w:val="00173A8E"/>
    <w:rsid w:val="0017502C"/>
    <w:rsid w:val="0017585D"/>
    <w:rsid w:val="00175FA2"/>
    <w:rsid w:val="001779B4"/>
    <w:rsid w:val="0018143F"/>
    <w:rsid w:val="0018169E"/>
    <w:rsid w:val="00181FF8"/>
    <w:rsid w:val="0018229A"/>
    <w:rsid w:val="00182FB2"/>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D97"/>
    <w:rsid w:val="001B5A5D"/>
    <w:rsid w:val="001C1CE5"/>
    <w:rsid w:val="001C1EC1"/>
    <w:rsid w:val="001C3D2A"/>
    <w:rsid w:val="001C3EA4"/>
    <w:rsid w:val="001C48F4"/>
    <w:rsid w:val="001C5BB6"/>
    <w:rsid w:val="001D3D94"/>
    <w:rsid w:val="001D51BA"/>
    <w:rsid w:val="001D53E7"/>
    <w:rsid w:val="001D6342"/>
    <w:rsid w:val="001D6D53"/>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CD9"/>
    <w:rsid w:val="00210D4F"/>
    <w:rsid w:val="00212851"/>
    <w:rsid w:val="00214B9C"/>
    <w:rsid w:val="00214DA8"/>
    <w:rsid w:val="00215423"/>
    <w:rsid w:val="002158FA"/>
    <w:rsid w:val="00216950"/>
    <w:rsid w:val="00220600"/>
    <w:rsid w:val="002224DB"/>
    <w:rsid w:val="00223FCB"/>
    <w:rsid w:val="002252C3"/>
    <w:rsid w:val="002252F3"/>
    <w:rsid w:val="00225C54"/>
    <w:rsid w:val="00230765"/>
    <w:rsid w:val="00230D18"/>
    <w:rsid w:val="002319E4"/>
    <w:rsid w:val="00235632"/>
    <w:rsid w:val="00235872"/>
    <w:rsid w:val="00237E17"/>
    <w:rsid w:val="00240059"/>
    <w:rsid w:val="00240D13"/>
    <w:rsid w:val="00241326"/>
    <w:rsid w:val="00241559"/>
    <w:rsid w:val="002435B3"/>
    <w:rsid w:val="002458EB"/>
    <w:rsid w:val="002500C8"/>
    <w:rsid w:val="00252289"/>
    <w:rsid w:val="00252BAD"/>
    <w:rsid w:val="00254509"/>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072"/>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4D6"/>
    <w:rsid w:val="002B3648"/>
    <w:rsid w:val="002B4F30"/>
    <w:rsid w:val="002B7240"/>
    <w:rsid w:val="002C2749"/>
    <w:rsid w:val="002C2C0D"/>
    <w:rsid w:val="002C41E6"/>
    <w:rsid w:val="002C5706"/>
    <w:rsid w:val="002D071A"/>
    <w:rsid w:val="002D1AC5"/>
    <w:rsid w:val="002D34B2"/>
    <w:rsid w:val="002D48B0"/>
    <w:rsid w:val="002D5B37"/>
    <w:rsid w:val="002D7637"/>
    <w:rsid w:val="002E17F2"/>
    <w:rsid w:val="002E57EF"/>
    <w:rsid w:val="002E6BD3"/>
    <w:rsid w:val="002E7CAE"/>
    <w:rsid w:val="002F0994"/>
    <w:rsid w:val="002F1C41"/>
    <w:rsid w:val="002F2030"/>
    <w:rsid w:val="002F2771"/>
    <w:rsid w:val="002F37A9"/>
    <w:rsid w:val="002F4C1B"/>
    <w:rsid w:val="002F7DD2"/>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50"/>
    <w:rsid w:val="00322C9F"/>
    <w:rsid w:val="00324D23"/>
    <w:rsid w:val="0032743C"/>
    <w:rsid w:val="00331751"/>
    <w:rsid w:val="003318EA"/>
    <w:rsid w:val="0033281C"/>
    <w:rsid w:val="00334579"/>
    <w:rsid w:val="00335858"/>
    <w:rsid w:val="00336852"/>
    <w:rsid w:val="00336BDA"/>
    <w:rsid w:val="00342BD7"/>
    <w:rsid w:val="00344EAA"/>
    <w:rsid w:val="0034546A"/>
    <w:rsid w:val="00346DB5"/>
    <w:rsid w:val="003477B1"/>
    <w:rsid w:val="00351C2D"/>
    <w:rsid w:val="00355512"/>
    <w:rsid w:val="00355ED7"/>
    <w:rsid w:val="003567A4"/>
    <w:rsid w:val="00357380"/>
    <w:rsid w:val="003602D9"/>
    <w:rsid w:val="003604CE"/>
    <w:rsid w:val="00360BA7"/>
    <w:rsid w:val="00361178"/>
    <w:rsid w:val="0036359E"/>
    <w:rsid w:val="003665D6"/>
    <w:rsid w:val="00370E47"/>
    <w:rsid w:val="00371680"/>
    <w:rsid w:val="003742AC"/>
    <w:rsid w:val="00374983"/>
    <w:rsid w:val="00377CE1"/>
    <w:rsid w:val="003806B5"/>
    <w:rsid w:val="00380E54"/>
    <w:rsid w:val="00385BF0"/>
    <w:rsid w:val="0038686E"/>
    <w:rsid w:val="00392DF9"/>
    <w:rsid w:val="003939FF"/>
    <w:rsid w:val="0039501C"/>
    <w:rsid w:val="003A16EC"/>
    <w:rsid w:val="003A216B"/>
    <w:rsid w:val="003A2223"/>
    <w:rsid w:val="003A2798"/>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BB"/>
    <w:rsid w:val="003B7FE5"/>
    <w:rsid w:val="003C0A78"/>
    <w:rsid w:val="003C11C8"/>
    <w:rsid w:val="003C14F0"/>
    <w:rsid w:val="003C2433"/>
    <w:rsid w:val="003C2702"/>
    <w:rsid w:val="003C548F"/>
    <w:rsid w:val="003C67F4"/>
    <w:rsid w:val="003C7806"/>
    <w:rsid w:val="003D109F"/>
    <w:rsid w:val="003D197E"/>
    <w:rsid w:val="003D2478"/>
    <w:rsid w:val="003D2894"/>
    <w:rsid w:val="003D3C45"/>
    <w:rsid w:val="003D453E"/>
    <w:rsid w:val="003D5B1F"/>
    <w:rsid w:val="003D727A"/>
    <w:rsid w:val="003E14CA"/>
    <w:rsid w:val="003E15FA"/>
    <w:rsid w:val="003E55E4"/>
    <w:rsid w:val="003E74E3"/>
    <w:rsid w:val="003F05C7"/>
    <w:rsid w:val="003F2CD4"/>
    <w:rsid w:val="003F4EAC"/>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21105"/>
    <w:rsid w:val="00422AA4"/>
    <w:rsid w:val="0042395E"/>
    <w:rsid w:val="004242F4"/>
    <w:rsid w:val="004245D5"/>
    <w:rsid w:val="0042555A"/>
    <w:rsid w:val="00427248"/>
    <w:rsid w:val="00433AC7"/>
    <w:rsid w:val="00437447"/>
    <w:rsid w:val="004414D8"/>
    <w:rsid w:val="00441A92"/>
    <w:rsid w:val="00442400"/>
    <w:rsid w:val="004431DC"/>
    <w:rsid w:val="004444BB"/>
    <w:rsid w:val="00444F56"/>
    <w:rsid w:val="00445E6D"/>
    <w:rsid w:val="00445EBD"/>
    <w:rsid w:val="00446294"/>
    <w:rsid w:val="00446488"/>
    <w:rsid w:val="004514F0"/>
    <w:rsid w:val="004517AA"/>
    <w:rsid w:val="00451C53"/>
    <w:rsid w:val="00452CAC"/>
    <w:rsid w:val="00453134"/>
    <w:rsid w:val="00453D3D"/>
    <w:rsid w:val="0045513B"/>
    <w:rsid w:val="004557A5"/>
    <w:rsid w:val="00457565"/>
    <w:rsid w:val="004575EF"/>
    <w:rsid w:val="00457B71"/>
    <w:rsid w:val="004669E2"/>
    <w:rsid w:val="00470C31"/>
    <w:rsid w:val="00471DE0"/>
    <w:rsid w:val="004734D0"/>
    <w:rsid w:val="0047556B"/>
    <w:rsid w:val="004762BD"/>
    <w:rsid w:val="00477768"/>
    <w:rsid w:val="004801D2"/>
    <w:rsid w:val="004817CC"/>
    <w:rsid w:val="00486C3E"/>
    <w:rsid w:val="00487F95"/>
    <w:rsid w:val="004904B7"/>
    <w:rsid w:val="0049089E"/>
    <w:rsid w:val="00492BC5"/>
    <w:rsid w:val="00493799"/>
    <w:rsid w:val="00493DC9"/>
    <w:rsid w:val="00494AF1"/>
    <w:rsid w:val="004964F1"/>
    <w:rsid w:val="004A16BC"/>
    <w:rsid w:val="004A2B94"/>
    <w:rsid w:val="004A318E"/>
    <w:rsid w:val="004A56D7"/>
    <w:rsid w:val="004B6F6A"/>
    <w:rsid w:val="004B7C0C"/>
    <w:rsid w:val="004C3898"/>
    <w:rsid w:val="004C3DD7"/>
    <w:rsid w:val="004C596A"/>
    <w:rsid w:val="004C641B"/>
    <w:rsid w:val="004C73ED"/>
    <w:rsid w:val="004C7469"/>
    <w:rsid w:val="004D0116"/>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6DFB"/>
    <w:rsid w:val="004F7334"/>
    <w:rsid w:val="004F75A1"/>
    <w:rsid w:val="004F789A"/>
    <w:rsid w:val="00502F23"/>
    <w:rsid w:val="00505A6E"/>
    <w:rsid w:val="00506557"/>
    <w:rsid w:val="0050677A"/>
    <w:rsid w:val="005075E5"/>
    <w:rsid w:val="005108D8"/>
    <w:rsid w:val="005116F9"/>
    <w:rsid w:val="005153A7"/>
    <w:rsid w:val="00516087"/>
    <w:rsid w:val="00516760"/>
    <w:rsid w:val="005219CF"/>
    <w:rsid w:val="00524A04"/>
    <w:rsid w:val="00524E0D"/>
    <w:rsid w:val="005253EF"/>
    <w:rsid w:val="0053052D"/>
    <w:rsid w:val="005306D7"/>
    <w:rsid w:val="00532177"/>
    <w:rsid w:val="00532C5F"/>
    <w:rsid w:val="0053344C"/>
    <w:rsid w:val="00533F52"/>
    <w:rsid w:val="00534B59"/>
    <w:rsid w:val="00536759"/>
    <w:rsid w:val="00537C62"/>
    <w:rsid w:val="005449CC"/>
    <w:rsid w:val="00546970"/>
    <w:rsid w:val="00550264"/>
    <w:rsid w:val="005549F1"/>
    <w:rsid w:val="00554DFB"/>
    <w:rsid w:val="00554E19"/>
    <w:rsid w:val="005561E4"/>
    <w:rsid w:val="005566C2"/>
    <w:rsid w:val="0056121F"/>
    <w:rsid w:val="005640C9"/>
    <w:rsid w:val="00566716"/>
    <w:rsid w:val="005668E6"/>
    <w:rsid w:val="005671DE"/>
    <w:rsid w:val="005701AD"/>
    <w:rsid w:val="00572505"/>
    <w:rsid w:val="005738C8"/>
    <w:rsid w:val="00574573"/>
    <w:rsid w:val="00575F09"/>
    <w:rsid w:val="0057738D"/>
    <w:rsid w:val="00582809"/>
    <w:rsid w:val="00582A7F"/>
    <w:rsid w:val="00584A8F"/>
    <w:rsid w:val="00586EC2"/>
    <w:rsid w:val="0058798C"/>
    <w:rsid w:val="00587C8B"/>
    <w:rsid w:val="005900FA"/>
    <w:rsid w:val="005935A4"/>
    <w:rsid w:val="005935A8"/>
    <w:rsid w:val="00593B72"/>
    <w:rsid w:val="005948C2"/>
    <w:rsid w:val="00594DD8"/>
    <w:rsid w:val="005952EB"/>
    <w:rsid w:val="00595DCA"/>
    <w:rsid w:val="00596877"/>
    <w:rsid w:val="0059779B"/>
    <w:rsid w:val="005A04BA"/>
    <w:rsid w:val="005A0E36"/>
    <w:rsid w:val="005A209A"/>
    <w:rsid w:val="005A3FB8"/>
    <w:rsid w:val="005A5955"/>
    <w:rsid w:val="005A603F"/>
    <w:rsid w:val="005A662D"/>
    <w:rsid w:val="005A7B0E"/>
    <w:rsid w:val="005B1409"/>
    <w:rsid w:val="005B35D7"/>
    <w:rsid w:val="005B392A"/>
    <w:rsid w:val="005B3AA3"/>
    <w:rsid w:val="005B53A2"/>
    <w:rsid w:val="005B5587"/>
    <w:rsid w:val="005B62A9"/>
    <w:rsid w:val="005B662B"/>
    <w:rsid w:val="005B6B1C"/>
    <w:rsid w:val="005B6F83"/>
    <w:rsid w:val="005C47E7"/>
    <w:rsid w:val="005C6284"/>
    <w:rsid w:val="005C74FB"/>
    <w:rsid w:val="005D0DE7"/>
    <w:rsid w:val="005D1524"/>
    <w:rsid w:val="005D1602"/>
    <w:rsid w:val="005D1A63"/>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ACD"/>
    <w:rsid w:val="006016D6"/>
    <w:rsid w:val="00601DD3"/>
    <w:rsid w:val="0060283C"/>
    <w:rsid w:val="00604F14"/>
    <w:rsid w:val="00611B83"/>
    <w:rsid w:val="00613257"/>
    <w:rsid w:val="00613F7D"/>
    <w:rsid w:val="00617697"/>
    <w:rsid w:val="0062072B"/>
    <w:rsid w:val="00620A71"/>
    <w:rsid w:val="00620D80"/>
    <w:rsid w:val="006219FF"/>
    <w:rsid w:val="00622C42"/>
    <w:rsid w:val="006234A6"/>
    <w:rsid w:val="00625191"/>
    <w:rsid w:val="00630001"/>
    <w:rsid w:val="006311B3"/>
    <w:rsid w:val="0063284C"/>
    <w:rsid w:val="00636398"/>
    <w:rsid w:val="006368D3"/>
    <w:rsid w:val="00636F09"/>
    <w:rsid w:val="006377EC"/>
    <w:rsid w:val="00637C14"/>
    <w:rsid w:val="00640680"/>
    <w:rsid w:val="0064151F"/>
    <w:rsid w:val="00641533"/>
    <w:rsid w:val="0064208D"/>
    <w:rsid w:val="006427F0"/>
    <w:rsid w:val="00643475"/>
    <w:rsid w:val="0064396A"/>
    <w:rsid w:val="00643EE2"/>
    <w:rsid w:val="006441D9"/>
    <w:rsid w:val="00646224"/>
    <w:rsid w:val="0064624E"/>
    <w:rsid w:val="00650AB9"/>
    <w:rsid w:val="00652213"/>
    <w:rsid w:val="00652595"/>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7C9"/>
    <w:rsid w:val="00682070"/>
    <w:rsid w:val="00683ECE"/>
    <w:rsid w:val="00687220"/>
    <w:rsid w:val="0068723C"/>
    <w:rsid w:val="00691CCF"/>
    <w:rsid w:val="006920C4"/>
    <w:rsid w:val="0069483E"/>
    <w:rsid w:val="00695FC2"/>
    <w:rsid w:val="00696949"/>
    <w:rsid w:val="00697052"/>
    <w:rsid w:val="0069754F"/>
    <w:rsid w:val="006A0C97"/>
    <w:rsid w:val="006A1149"/>
    <w:rsid w:val="006A46FB"/>
    <w:rsid w:val="006A4C94"/>
    <w:rsid w:val="006A520A"/>
    <w:rsid w:val="006A57C3"/>
    <w:rsid w:val="006A5E28"/>
    <w:rsid w:val="006A6694"/>
    <w:rsid w:val="006A697B"/>
    <w:rsid w:val="006A76A4"/>
    <w:rsid w:val="006A7AFF"/>
    <w:rsid w:val="006A7FD0"/>
    <w:rsid w:val="006B0307"/>
    <w:rsid w:val="006B0FBA"/>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49C4"/>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5A0"/>
    <w:rsid w:val="0074524B"/>
    <w:rsid w:val="00747D8B"/>
    <w:rsid w:val="00750FF6"/>
    <w:rsid w:val="00751228"/>
    <w:rsid w:val="007518D2"/>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4610"/>
    <w:rsid w:val="007E4715"/>
    <w:rsid w:val="007E505B"/>
    <w:rsid w:val="007E7091"/>
    <w:rsid w:val="007F1471"/>
    <w:rsid w:val="007F294D"/>
    <w:rsid w:val="007F4D7C"/>
    <w:rsid w:val="00800E54"/>
    <w:rsid w:val="00801444"/>
    <w:rsid w:val="00801E36"/>
    <w:rsid w:val="00803FAE"/>
    <w:rsid w:val="0080605F"/>
    <w:rsid w:val="00806BE2"/>
    <w:rsid w:val="00807786"/>
    <w:rsid w:val="00810C9B"/>
    <w:rsid w:val="00811636"/>
    <w:rsid w:val="00811FCB"/>
    <w:rsid w:val="00813431"/>
    <w:rsid w:val="0081357B"/>
    <w:rsid w:val="008158D6"/>
    <w:rsid w:val="00817196"/>
    <w:rsid w:val="00820165"/>
    <w:rsid w:val="00821C11"/>
    <w:rsid w:val="0082349F"/>
    <w:rsid w:val="008235DB"/>
    <w:rsid w:val="00824324"/>
    <w:rsid w:val="00824AB4"/>
    <w:rsid w:val="00825C42"/>
    <w:rsid w:val="00825D25"/>
    <w:rsid w:val="00827D6F"/>
    <w:rsid w:val="00831CAB"/>
    <w:rsid w:val="00835D20"/>
    <w:rsid w:val="00836C47"/>
    <w:rsid w:val="0083741B"/>
    <w:rsid w:val="008376AC"/>
    <w:rsid w:val="00837CDB"/>
    <w:rsid w:val="00842191"/>
    <w:rsid w:val="00844388"/>
    <w:rsid w:val="008444E8"/>
    <w:rsid w:val="00844E80"/>
    <w:rsid w:val="00845ADE"/>
    <w:rsid w:val="008466D1"/>
    <w:rsid w:val="0084671A"/>
    <w:rsid w:val="00846FE7"/>
    <w:rsid w:val="0085014C"/>
    <w:rsid w:val="0085655D"/>
    <w:rsid w:val="00856911"/>
    <w:rsid w:val="00860316"/>
    <w:rsid w:val="00860919"/>
    <w:rsid w:val="0086438E"/>
    <w:rsid w:val="008666CA"/>
    <w:rsid w:val="00866E71"/>
    <w:rsid w:val="008677FD"/>
    <w:rsid w:val="00867C7B"/>
    <w:rsid w:val="008706D4"/>
    <w:rsid w:val="00870B2D"/>
    <w:rsid w:val="00870F8A"/>
    <w:rsid w:val="008719A4"/>
    <w:rsid w:val="00871D23"/>
    <w:rsid w:val="00873AEE"/>
    <w:rsid w:val="00874312"/>
    <w:rsid w:val="0087437C"/>
    <w:rsid w:val="008759F6"/>
    <w:rsid w:val="00875CD7"/>
    <w:rsid w:val="00876511"/>
    <w:rsid w:val="00876B4D"/>
    <w:rsid w:val="008775BD"/>
    <w:rsid w:val="00877F18"/>
    <w:rsid w:val="00881C7B"/>
    <w:rsid w:val="008826AC"/>
    <w:rsid w:val="0088733C"/>
    <w:rsid w:val="00887BD6"/>
    <w:rsid w:val="00891C92"/>
    <w:rsid w:val="008941E3"/>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4958"/>
    <w:rsid w:val="008C4BAA"/>
    <w:rsid w:val="008C6AE8"/>
    <w:rsid w:val="008C7294"/>
    <w:rsid w:val="008C7573"/>
    <w:rsid w:val="008D00A5"/>
    <w:rsid w:val="008D115D"/>
    <w:rsid w:val="008D15C5"/>
    <w:rsid w:val="008D1614"/>
    <w:rsid w:val="008D34F1"/>
    <w:rsid w:val="008D39D8"/>
    <w:rsid w:val="008D5A77"/>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31D5"/>
    <w:rsid w:val="0090336B"/>
    <w:rsid w:val="0090437C"/>
    <w:rsid w:val="009053AA"/>
    <w:rsid w:val="009060FA"/>
    <w:rsid w:val="00906939"/>
    <w:rsid w:val="00906FAA"/>
    <w:rsid w:val="00910B7D"/>
    <w:rsid w:val="00911397"/>
    <w:rsid w:val="00911795"/>
    <w:rsid w:val="00911DFB"/>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4418"/>
    <w:rsid w:val="00936158"/>
    <w:rsid w:val="009368F3"/>
    <w:rsid w:val="00941636"/>
    <w:rsid w:val="00941E82"/>
    <w:rsid w:val="0094355A"/>
    <w:rsid w:val="00943742"/>
    <w:rsid w:val="00945C05"/>
    <w:rsid w:val="009466BB"/>
    <w:rsid w:val="00946945"/>
    <w:rsid w:val="00947713"/>
    <w:rsid w:val="00950DE7"/>
    <w:rsid w:val="00953920"/>
    <w:rsid w:val="00953D47"/>
    <w:rsid w:val="00954D40"/>
    <w:rsid w:val="00955D58"/>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2BF4"/>
    <w:rsid w:val="009A3BB6"/>
    <w:rsid w:val="009A462D"/>
    <w:rsid w:val="009A4865"/>
    <w:rsid w:val="009A5CBA"/>
    <w:rsid w:val="009A7274"/>
    <w:rsid w:val="009B1F30"/>
    <w:rsid w:val="009B3AC2"/>
    <w:rsid w:val="009B3C46"/>
    <w:rsid w:val="009B4DF4"/>
    <w:rsid w:val="009B564E"/>
    <w:rsid w:val="009B6772"/>
    <w:rsid w:val="009B7E87"/>
    <w:rsid w:val="009C0169"/>
    <w:rsid w:val="009C02AA"/>
    <w:rsid w:val="009C09BE"/>
    <w:rsid w:val="009C403E"/>
    <w:rsid w:val="009D06BA"/>
    <w:rsid w:val="009D2E3F"/>
    <w:rsid w:val="009D3668"/>
    <w:rsid w:val="009D4FF0"/>
    <w:rsid w:val="009D5F87"/>
    <w:rsid w:val="009D703C"/>
    <w:rsid w:val="009D718F"/>
    <w:rsid w:val="009E068F"/>
    <w:rsid w:val="009E14E0"/>
    <w:rsid w:val="009E3334"/>
    <w:rsid w:val="009E35DB"/>
    <w:rsid w:val="009E4703"/>
    <w:rsid w:val="009E47A3"/>
    <w:rsid w:val="009F08F3"/>
    <w:rsid w:val="009F344F"/>
    <w:rsid w:val="009F46C4"/>
    <w:rsid w:val="009F5B79"/>
    <w:rsid w:val="00A01457"/>
    <w:rsid w:val="00A031D8"/>
    <w:rsid w:val="00A033F7"/>
    <w:rsid w:val="00A04008"/>
    <w:rsid w:val="00A048A8"/>
    <w:rsid w:val="00A04F49"/>
    <w:rsid w:val="00A05B40"/>
    <w:rsid w:val="00A063B4"/>
    <w:rsid w:val="00A068A5"/>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8D4"/>
    <w:rsid w:val="00A45B74"/>
    <w:rsid w:val="00A52E1D"/>
    <w:rsid w:val="00A53EDA"/>
    <w:rsid w:val="00A55CBC"/>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EC4"/>
    <w:rsid w:val="00A77EFE"/>
    <w:rsid w:val="00A8433A"/>
    <w:rsid w:val="00A861A0"/>
    <w:rsid w:val="00A913A8"/>
    <w:rsid w:val="00A92879"/>
    <w:rsid w:val="00A9442A"/>
    <w:rsid w:val="00A94FA9"/>
    <w:rsid w:val="00A954ED"/>
    <w:rsid w:val="00AA016F"/>
    <w:rsid w:val="00AA0BB8"/>
    <w:rsid w:val="00AA1ED6"/>
    <w:rsid w:val="00AA236F"/>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5781"/>
    <w:rsid w:val="00AE6180"/>
    <w:rsid w:val="00AE6A65"/>
    <w:rsid w:val="00AE7B1F"/>
    <w:rsid w:val="00AF1C5D"/>
    <w:rsid w:val="00AF1C8E"/>
    <w:rsid w:val="00AF3E89"/>
    <w:rsid w:val="00AF42D7"/>
    <w:rsid w:val="00AF79AD"/>
    <w:rsid w:val="00B006FE"/>
    <w:rsid w:val="00B007CB"/>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6175"/>
    <w:rsid w:val="00B50D42"/>
    <w:rsid w:val="00B548B7"/>
    <w:rsid w:val="00B54DD0"/>
    <w:rsid w:val="00B60834"/>
    <w:rsid w:val="00B6131A"/>
    <w:rsid w:val="00B63BF2"/>
    <w:rsid w:val="00B658AD"/>
    <w:rsid w:val="00B664C7"/>
    <w:rsid w:val="00B70503"/>
    <w:rsid w:val="00B7145C"/>
    <w:rsid w:val="00B739F6"/>
    <w:rsid w:val="00B8172D"/>
    <w:rsid w:val="00B81A6C"/>
    <w:rsid w:val="00B81DA1"/>
    <w:rsid w:val="00B85DE5"/>
    <w:rsid w:val="00B87341"/>
    <w:rsid w:val="00B90F73"/>
    <w:rsid w:val="00B93B59"/>
    <w:rsid w:val="00B9406A"/>
    <w:rsid w:val="00B96E05"/>
    <w:rsid w:val="00BA147D"/>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257C"/>
    <w:rsid w:val="00BD48AC"/>
    <w:rsid w:val="00BD4CE7"/>
    <w:rsid w:val="00BD4EC5"/>
    <w:rsid w:val="00BD5811"/>
    <w:rsid w:val="00BD5F1A"/>
    <w:rsid w:val="00BE1234"/>
    <w:rsid w:val="00BE179C"/>
    <w:rsid w:val="00BE2FA6"/>
    <w:rsid w:val="00BE333F"/>
    <w:rsid w:val="00BE33F6"/>
    <w:rsid w:val="00BE3FF5"/>
    <w:rsid w:val="00BE4858"/>
    <w:rsid w:val="00BE6A41"/>
    <w:rsid w:val="00BE7406"/>
    <w:rsid w:val="00BE7603"/>
    <w:rsid w:val="00BF2E10"/>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17D7F"/>
    <w:rsid w:val="00C23B11"/>
    <w:rsid w:val="00C24CD3"/>
    <w:rsid w:val="00C26855"/>
    <w:rsid w:val="00C268E6"/>
    <w:rsid w:val="00C27440"/>
    <w:rsid w:val="00C279B5"/>
    <w:rsid w:val="00C27C45"/>
    <w:rsid w:val="00C30163"/>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60783"/>
    <w:rsid w:val="00C60A57"/>
    <w:rsid w:val="00C64672"/>
    <w:rsid w:val="00C65947"/>
    <w:rsid w:val="00C67D57"/>
    <w:rsid w:val="00C70697"/>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9027A"/>
    <w:rsid w:val="00C9068E"/>
    <w:rsid w:val="00C93814"/>
    <w:rsid w:val="00C93C4B"/>
    <w:rsid w:val="00C944AB"/>
    <w:rsid w:val="00C95B40"/>
    <w:rsid w:val="00C96140"/>
    <w:rsid w:val="00C9682D"/>
    <w:rsid w:val="00CA0C43"/>
    <w:rsid w:val="00CA1ED8"/>
    <w:rsid w:val="00CA2266"/>
    <w:rsid w:val="00CA37CF"/>
    <w:rsid w:val="00CA5D4C"/>
    <w:rsid w:val="00CB16BB"/>
    <w:rsid w:val="00CB1F63"/>
    <w:rsid w:val="00CB235A"/>
    <w:rsid w:val="00CB4617"/>
    <w:rsid w:val="00CB563B"/>
    <w:rsid w:val="00CB7170"/>
    <w:rsid w:val="00CC040E"/>
    <w:rsid w:val="00CC04E8"/>
    <w:rsid w:val="00CC111F"/>
    <w:rsid w:val="00CC2011"/>
    <w:rsid w:val="00CC20D1"/>
    <w:rsid w:val="00CC2E70"/>
    <w:rsid w:val="00CC2F8B"/>
    <w:rsid w:val="00CC3EA0"/>
    <w:rsid w:val="00CC7B45"/>
    <w:rsid w:val="00CD1188"/>
    <w:rsid w:val="00CD1BF8"/>
    <w:rsid w:val="00CD2ED1"/>
    <w:rsid w:val="00CD337B"/>
    <w:rsid w:val="00CE0424"/>
    <w:rsid w:val="00CE12BD"/>
    <w:rsid w:val="00CE7561"/>
    <w:rsid w:val="00CF00F5"/>
    <w:rsid w:val="00CF033C"/>
    <w:rsid w:val="00CF1354"/>
    <w:rsid w:val="00CF3B1F"/>
    <w:rsid w:val="00CF3BF6"/>
    <w:rsid w:val="00CF625B"/>
    <w:rsid w:val="00CF63BD"/>
    <w:rsid w:val="00CF687E"/>
    <w:rsid w:val="00D0349B"/>
    <w:rsid w:val="00D04378"/>
    <w:rsid w:val="00D10249"/>
    <w:rsid w:val="00D115C3"/>
    <w:rsid w:val="00D11897"/>
    <w:rsid w:val="00D13135"/>
    <w:rsid w:val="00D13E4E"/>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46FF"/>
    <w:rsid w:val="00D5538B"/>
    <w:rsid w:val="00D55AD5"/>
    <w:rsid w:val="00D576CA"/>
    <w:rsid w:val="00D5795C"/>
    <w:rsid w:val="00D61AF5"/>
    <w:rsid w:val="00D62417"/>
    <w:rsid w:val="00D647F1"/>
    <w:rsid w:val="00D652B5"/>
    <w:rsid w:val="00D65F76"/>
    <w:rsid w:val="00D66155"/>
    <w:rsid w:val="00D66A08"/>
    <w:rsid w:val="00D66C36"/>
    <w:rsid w:val="00D66C39"/>
    <w:rsid w:val="00D67B18"/>
    <w:rsid w:val="00D67B19"/>
    <w:rsid w:val="00D708B0"/>
    <w:rsid w:val="00D72B85"/>
    <w:rsid w:val="00D73FD1"/>
    <w:rsid w:val="00D7716B"/>
    <w:rsid w:val="00D77B1D"/>
    <w:rsid w:val="00D8021F"/>
    <w:rsid w:val="00D80383"/>
    <w:rsid w:val="00D80E0C"/>
    <w:rsid w:val="00D822D8"/>
    <w:rsid w:val="00D823C6"/>
    <w:rsid w:val="00D823ED"/>
    <w:rsid w:val="00D8327F"/>
    <w:rsid w:val="00D86CA3"/>
    <w:rsid w:val="00D871CE"/>
    <w:rsid w:val="00D90963"/>
    <w:rsid w:val="00D90B90"/>
    <w:rsid w:val="00D91392"/>
    <w:rsid w:val="00D9196D"/>
    <w:rsid w:val="00D92982"/>
    <w:rsid w:val="00D9310F"/>
    <w:rsid w:val="00D956C3"/>
    <w:rsid w:val="00D97469"/>
    <w:rsid w:val="00DA0EE7"/>
    <w:rsid w:val="00DA2CCB"/>
    <w:rsid w:val="00DA305E"/>
    <w:rsid w:val="00DA457B"/>
    <w:rsid w:val="00DA4EEA"/>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5B9C"/>
    <w:rsid w:val="00DF6E19"/>
    <w:rsid w:val="00DF7550"/>
    <w:rsid w:val="00E008E9"/>
    <w:rsid w:val="00E0218D"/>
    <w:rsid w:val="00E06BE8"/>
    <w:rsid w:val="00E07D9A"/>
    <w:rsid w:val="00E110E7"/>
    <w:rsid w:val="00E11B20"/>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2105"/>
    <w:rsid w:val="00E6317D"/>
    <w:rsid w:val="00E6318B"/>
    <w:rsid w:val="00E63838"/>
    <w:rsid w:val="00E64434"/>
    <w:rsid w:val="00E67C51"/>
    <w:rsid w:val="00E70E12"/>
    <w:rsid w:val="00E72EFC"/>
    <w:rsid w:val="00E7362D"/>
    <w:rsid w:val="00E74516"/>
    <w:rsid w:val="00E757A1"/>
    <w:rsid w:val="00E758EC"/>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A8E"/>
    <w:rsid w:val="00EA7A41"/>
    <w:rsid w:val="00EB077B"/>
    <w:rsid w:val="00EB0DDF"/>
    <w:rsid w:val="00EB49B4"/>
    <w:rsid w:val="00EB4EA2"/>
    <w:rsid w:val="00EC05EF"/>
    <w:rsid w:val="00EC119E"/>
    <w:rsid w:val="00EC24D5"/>
    <w:rsid w:val="00EC27C6"/>
    <w:rsid w:val="00EC30B7"/>
    <w:rsid w:val="00EC3584"/>
    <w:rsid w:val="00EC4207"/>
    <w:rsid w:val="00EC5653"/>
    <w:rsid w:val="00EC644E"/>
    <w:rsid w:val="00EC6706"/>
    <w:rsid w:val="00EC71CE"/>
    <w:rsid w:val="00ED1006"/>
    <w:rsid w:val="00ED2D1D"/>
    <w:rsid w:val="00ED5CC0"/>
    <w:rsid w:val="00EE229C"/>
    <w:rsid w:val="00EE4B42"/>
    <w:rsid w:val="00EE4E0F"/>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FA5"/>
    <w:rsid w:val="00F165B0"/>
    <w:rsid w:val="00F206D5"/>
    <w:rsid w:val="00F209B7"/>
    <w:rsid w:val="00F20F5C"/>
    <w:rsid w:val="00F21D18"/>
    <w:rsid w:val="00F22894"/>
    <w:rsid w:val="00F235E5"/>
    <w:rsid w:val="00F2376F"/>
    <w:rsid w:val="00F243D8"/>
    <w:rsid w:val="00F26674"/>
    <w:rsid w:val="00F273D4"/>
    <w:rsid w:val="00F30828"/>
    <w:rsid w:val="00F313D6"/>
    <w:rsid w:val="00F36B20"/>
    <w:rsid w:val="00F36EE9"/>
    <w:rsid w:val="00F402A1"/>
    <w:rsid w:val="00F40F0C"/>
    <w:rsid w:val="00F41161"/>
    <w:rsid w:val="00F436F9"/>
    <w:rsid w:val="00F43A3F"/>
    <w:rsid w:val="00F446A6"/>
    <w:rsid w:val="00F4766C"/>
    <w:rsid w:val="00F5060E"/>
    <w:rsid w:val="00F507D1"/>
    <w:rsid w:val="00F519CE"/>
    <w:rsid w:val="00F51ADA"/>
    <w:rsid w:val="00F51C6A"/>
    <w:rsid w:val="00F5420A"/>
    <w:rsid w:val="00F54CB8"/>
    <w:rsid w:val="00F56C1E"/>
    <w:rsid w:val="00F56C47"/>
    <w:rsid w:val="00F57255"/>
    <w:rsid w:val="00F60203"/>
    <w:rsid w:val="00F6076A"/>
    <w:rsid w:val="00F607C5"/>
    <w:rsid w:val="00F60DEA"/>
    <w:rsid w:val="00F61148"/>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29A"/>
    <w:rsid w:val="00F75582"/>
    <w:rsid w:val="00F76CC8"/>
    <w:rsid w:val="00F76DB7"/>
    <w:rsid w:val="00F76EFA"/>
    <w:rsid w:val="00F774AC"/>
    <w:rsid w:val="00F77A80"/>
    <w:rsid w:val="00F804BE"/>
    <w:rsid w:val="00F80B30"/>
    <w:rsid w:val="00F80FAD"/>
    <w:rsid w:val="00F817CE"/>
    <w:rsid w:val="00F8456C"/>
    <w:rsid w:val="00F84636"/>
    <w:rsid w:val="00F84C2C"/>
    <w:rsid w:val="00F85466"/>
    <w:rsid w:val="00F858CE"/>
    <w:rsid w:val="00F859D8"/>
    <w:rsid w:val="00F8606F"/>
    <w:rsid w:val="00F868F5"/>
    <w:rsid w:val="00F86A57"/>
    <w:rsid w:val="00F9056A"/>
    <w:rsid w:val="00F90F8D"/>
    <w:rsid w:val="00F92782"/>
    <w:rsid w:val="00F9395F"/>
    <w:rsid w:val="00F93AA9"/>
    <w:rsid w:val="00F94145"/>
    <w:rsid w:val="00F949CB"/>
    <w:rsid w:val="00F96985"/>
    <w:rsid w:val="00F97838"/>
    <w:rsid w:val="00FA2BB3"/>
    <w:rsid w:val="00FA3AD7"/>
    <w:rsid w:val="00FA4716"/>
    <w:rsid w:val="00FB4C80"/>
    <w:rsid w:val="00FB559F"/>
    <w:rsid w:val="00FB63FD"/>
    <w:rsid w:val="00FB6A6A"/>
    <w:rsid w:val="00FC1A28"/>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1AB66510-44E9-44DD-AB0C-680DD955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http://purl.org/dc/dcmitype/"/>
    <ds:schemaRef ds:uri="http://purl.org/dc/elements/1.1/"/>
    <ds:schemaRef ds:uri="http://schemas.microsoft.com/office/2006/documentManagement/types"/>
    <ds:schemaRef ds:uri="9b239327-9e80-40e4-b1b7-4394fed77a33"/>
    <ds:schemaRef ds:uri="http://schemas.openxmlformats.org/package/2006/metadata/core-properties"/>
    <ds:schemaRef ds:uri="http://schemas.microsoft.com/office/infopath/2007/PartnerControls"/>
    <ds:schemaRef ds:uri="d8762117-8292-4133-b1c7-eab5c6487cfd"/>
    <ds:schemaRef ds:uri="2f282d3b-eb4a-4b09-b61f-b9593442e286"/>
    <ds:schemaRef ds:uri="http://schemas.microsoft.com/sharepoint/v3"/>
    <ds:schemaRef ds:uri="http://www.w3.org/XML/1998/namespace"/>
  </ds:schemaRefs>
</ds:datastoreItem>
</file>

<file path=customXml/itemProps2.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4537</TotalTime>
  <Pages>5</Pages>
  <Words>2004</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421</cp:revision>
  <cp:lastPrinted>2008-02-01T01:09:00Z</cp:lastPrinted>
  <dcterms:created xsi:type="dcterms:W3CDTF">2022-10-31T22:14:00Z</dcterms:created>
  <dcterms:modified xsi:type="dcterms:W3CDTF">2023-04-07T07:10:00Z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